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BOSCH PAVIRO - PVA-2P500 시스템 앰프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설계자 및 엔지니어 사양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2x 500W 클래스 D의 고효율 앰프로서, EN54-16 준수 및 인증 시스템이며 2RU, 19” 캐비닛에 설치됩니다. 전기적으로 분리된 70/100V의 라우드스피커 출력 전압을 제공합니다. 시스템 컨트롤러가 앰프를 계속 모니터링합니다.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경제적 측면 및 감시 측면과 관련하여 앰프를 사용하지 않는 동안 에너지 절약을 위해 특수 대기 모드를 지원합니다.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시스템 제어와 오디오 상호 연결은 RJ45 커넥터를 통해 이루어집니다.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앰프는 시스템 앰프로 사용되지만, 독립형 앰프로 사용할 수도 있습니다.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시스템 앰프로서, RJ45를 통해 4개의 자동 선택 가능한 오디오를 입력할 수 있습니다. 시스템 및 라인에 대한 감시를 유지하면서 로컬 입력을 사용할 수도 있습니다.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독립 모드의 경우에는 반드시 로컬 입력을 사용해야 합니다.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로컬 입력은 설치 시스템에 있어서 소스 입력으로서 사용할 수 있는 방식으로 구성 가능해야 합니다(예: 외부 PA 또는 로컬 소스 입력).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앰프에는 다음과 같은 기술 사양이 있습니다.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최대 앰프 부하: 2x 500W 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클래스 D 앰프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RJ45 커넥터에서 4채널 입력, 앰프 링크 인 및 아웃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(각 앰프에 대해 4채널 동적 입력 채널 전환)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앰프에서 로컬 입력: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 xml:space="preserve">소프트웨어 구성을 통해 구현하거나 앰프 주소가 주소 "0"으로 설정되면 자동 선택됨.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로컬 입력을 사용하는 경우, 시스템 채널 4를 감시 채널로 사용.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RJ45 커넥터에서 루프 스루(4채널)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내장형 리미터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후면 AC 전원 스위치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24V DC 입력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전면에서 후면으로 환기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기술 데이터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사양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정격 부하 임피던스(출력 전력)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20Ω(500W)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10Ω(500W)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정격 출력 전력, 1kHz, THD ≤ 1%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500W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정격 입력 전압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최대 RMS 전압 스윙, 1kHz, THD ≤ 1%, 부하 제외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전압 게인, 1kHz 기준, 고정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33.2dB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36.2dB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최대 부하 용량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2µF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입력 레벨, 최대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+18dBu (9.75V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rms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주파수 응답, 1kHz 기준, 정격 부하,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50Hz ~ 25kHz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입력 임피던스, 활성 밸런스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신호 대 잡음비(A 가중치 적용)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출력 잡음(A 가중치 적용)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-62dBu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크로스토크, 1kHz 기준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-85dB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출력 스테이지 토폴로지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클래스 D, 변압기, 부동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전원 요구 사항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AC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 ~ 240V (-10/+10%)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 ~ 32 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전력 소비량, AC 및 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운영 매뉴얼의 “전력 소비” 섹션 참조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유입 전류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유입 전류, 5초 후 전원 사이클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1.3A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주전원 퓨즈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T6.3A(내부적)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DC 퓨즈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30A(내부적)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접지 오류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CAN BUS 포트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RJ-45, 10 ~ 500 kbit/s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보호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오디오 입력 레벨 리미터, RMS 출력 전력 리미터, 고온, DC, 단락, 주전원 저전압 방지, DC 공급 저전압 방지, 유입 전류 리미터, 접지 오류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냉각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전면에서 후면으로, 온도에 따라 조절되는 팬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작동 온도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-5°C ~ +45°C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안전 클래스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클래스 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전자기 환경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E1, E2, 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제품 크기(너비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높이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깊이)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19”,  2HU, 483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88.2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375mm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순무게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16.5kg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배송 무게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19kg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DC 모드 및 연속 알람 신호 작동에서 출력 신호는 최대 3dB로 제한됩니다.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>115V 미만 주전원 전압에서의 감소된 출력 전력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표준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IEC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전력 소비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230V/50Hz 작동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공급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공급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공급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출력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대기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0.14A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33.0VA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1.9W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유휴(오디오 없음)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0.20A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47.0VA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19.5W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안내 방송(-10dB)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0.88A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알림(-3dB)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3.35A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120V/60Hz 작동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공급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공급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공급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출력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대기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0.09A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9.0VA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1.3W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유휴(오디오 없음)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0.27A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29.0VA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17.3W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안내 방송(-10dB)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1.6A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알림(-3dB)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6.9A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24V DC 작동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공급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공급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공급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출력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대기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0.06A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1.4W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유휴(오디오 없음)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0.65A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15.6W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안내 방송(-10dB)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7.0A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알림(-3dB)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32.5A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표 열 설명: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공급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 주전원(또는 DC 공급)에서 끌어온 RMS 전류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공급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주전원 라인에서 끌어온 겉보기 전력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공급 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= 주전원(또는 DC 공급)에서 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끌어온 무효 전력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출력 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스피커 라인에 공급된 NF 출력 전력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손실  </w:t>
      </w:r>
      <w:r>
        <w:rPr>
          <w:color w:val="231F20"/>
          <w:sz w:val="18"/>
          <w:szCs w:val="18"/>
          <w:rFonts w:ascii="Bosch Office Sans" w:hAnsi="Bosch Office Sans" w:cs="Bosch Office Sans"/>
        </w:rPr>
        <w:t>또는 BTU/h = 열 손실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