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19" w:rsidRDefault="006B1319" w:rsidP="004469B5">
      <w:pPr>
        <w:pStyle w:val="Heading3"/>
        <w:jc w:val="both"/>
        <w:rPr>
          <w:b/>
          <w:i w:val="0"/>
          <w:sz w:val="20"/>
        </w:rPr>
      </w:pPr>
    </w:p>
    <w:p w:rsidR="006B1319" w:rsidRDefault="006B1319" w:rsidP="004469B5">
      <w:pPr>
        <w:pStyle w:val="Heading3"/>
        <w:jc w:val="both"/>
        <w:rPr>
          <w:b/>
          <w:i w:val="0"/>
          <w:sz w:val="20"/>
        </w:rPr>
      </w:pPr>
    </w:p>
    <w:p w:rsidR="004469B5" w:rsidRDefault="00B234CB" w:rsidP="004469B5">
      <w:pPr>
        <w:pStyle w:val="Heading3"/>
        <w:jc w:val="both"/>
        <w:rPr>
          <w:b/>
          <w:i w:val="0"/>
          <w:sz w:val="20"/>
        </w:rPr>
      </w:pPr>
      <w:r>
        <w:rPr>
          <w:b/>
          <w:i w:val="0"/>
          <w:sz w:val="20"/>
        </w:rPr>
        <w:t>Amplificador del sistema BOSCH PAVIRO - PVA-2P500</w:t>
      </w:r>
    </w:p>
    <w:p w:rsidR="004469B5" w:rsidRDefault="004469B5" w:rsidP="004469B5">
      <w:pPr>
        <w:pStyle w:val="Heading3"/>
        <w:jc w:val="both"/>
        <w:rPr>
          <w:b/>
          <w:i w:val="0"/>
          <w:sz w:val="20"/>
        </w:rPr>
      </w:pPr>
    </w:p>
    <w:p w:rsidR="005B4D95" w:rsidRDefault="005B4D95" w:rsidP="005B4D95">
      <w:pPr>
        <w:pStyle w:val="Heading3"/>
        <w:jc w:val="both"/>
        <w:rPr>
          <w:b/>
          <w:i w:val="0"/>
          <w:sz w:val="20"/>
        </w:rPr>
      </w:pPr>
      <w:r>
        <w:rPr>
          <w:b/>
          <w:i w:val="0"/>
          <w:sz w:val="20"/>
        </w:rPr>
        <w:t>Especificaciones para arquitectos e ingenieros</w:t>
      </w:r>
    </w:p>
    <w:p w:rsidR="005B4D95" w:rsidRPr="006818CE" w:rsidRDefault="005B4D95" w:rsidP="005B4D95">
      <w:pPr>
        <w:rPr>
          <w:rFonts w:ascii="Verdana" w:hAnsi="Verdana"/>
          <w:sz w:val="20"/>
          <w:szCs w:val="20"/>
        </w:rPr>
      </w:pPr>
    </w:p>
    <w:p w:rsidR="005B4D95" w:rsidRPr="006818CE" w:rsidRDefault="005B4D95" w:rsidP="005B4D95">
      <w:pPr>
        <w:rPr>
          <w:rFonts w:ascii="Verdana" w:hAnsi="Verdana"/>
          <w:sz w:val="20"/>
          <w:szCs w:val="20"/>
        </w:rPr>
      </w:pPr>
      <w:r>
        <w:rPr>
          <w:rFonts w:ascii="Verdana" w:hAnsi="Verdana"/>
          <w:sz w:val="20"/>
          <w:szCs w:val="20"/>
        </w:rPr>
        <w:t>El amplificador de alto rendimiento, tipo Clase D y de 2 x 500 W será un dispositivo del sistema que estará certificado,  que cumplirá la norma EN54-16 y estará ubicado en una carcasa de 2 U y de 19 pulgadas. Proporcionará tensiones de salida de altavoces de 70/100 V separadas galvánicamente. El amplificador será supervisado permanentemente por el controlador del sistema.</w:t>
      </w:r>
    </w:p>
    <w:p w:rsidR="005B4D95" w:rsidRPr="006818CE" w:rsidRDefault="005B4D95" w:rsidP="005B4D95">
      <w:pPr>
        <w:rPr>
          <w:rFonts w:ascii="Verdana" w:hAnsi="Verdana"/>
          <w:sz w:val="20"/>
          <w:szCs w:val="20"/>
        </w:rPr>
      </w:pPr>
      <w:r>
        <w:rPr>
          <w:rFonts w:ascii="Verdana" w:hAnsi="Verdana"/>
          <w:sz w:val="20"/>
          <w:szCs w:val="20"/>
        </w:rPr>
        <w:t>Se aportará un modo en espera especial que permitirá ahorrar energía durante el tiempo en que el amplificador no esté en uso con respecto a todos los aspectos económicos y de supervisión.</w:t>
      </w:r>
    </w:p>
    <w:p w:rsidR="005B4D95" w:rsidRPr="006818CE" w:rsidRDefault="005B4D95" w:rsidP="005B4D95">
      <w:pPr>
        <w:rPr>
          <w:rFonts w:ascii="Verdana" w:hAnsi="Verdana"/>
          <w:sz w:val="20"/>
          <w:szCs w:val="20"/>
        </w:rPr>
      </w:pPr>
      <w:r>
        <w:rPr>
          <w:rFonts w:ascii="Verdana" w:hAnsi="Verdana"/>
          <w:sz w:val="20"/>
          <w:szCs w:val="20"/>
        </w:rPr>
        <w:t>El control del sistema y las interconexiones de audio se realizarán a través de conectores RJ45.</w:t>
      </w:r>
    </w:p>
    <w:p w:rsidR="005B4D95" w:rsidRPr="006818CE" w:rsidRDefault="005B4D95" w:rsidP="005B4D95">
      <w:pPr>
        <w:rPr>
          <w:rFonts w:ascii="Verdana" w:hAnsi="Verdana"/>
          <w:sz w:val="20"/>
          <w:szCs w:val="20"/>
        </w:rPr>
      </w:pPr>
      <w:r>
        <w:rPr>
          <w:rFonts w:ascii="Verdana" w:hAnsi="Verdana"/>
          <w:sz w:val="20"/>
          <w:szCs w:val="20"/>
        </w:rPr>
        <w:t>El amplificador se usará como amplificador del sistema y también se podrá usar como amplificador autonomo/independiente.</w:t>
      </w:r>
    </w:p>
    <w:p w:rsidR="005B4D95" w:rsidRPr="006818CE" w:rsidRDefault="005B4D95" w:rsidP="005B4D95">
      <w:pPr>
        <w:rPr>
          <w:rFonts w:ascii="Verdana" w:hAnsi="Verdana"/>
          <w:sz w:val="20"/>
          <w:szCs w:val="20"/>
        </w:rPr>
      </w:pPr>
      <w:r>
        <w:rPr>
          <w:rFonts w:ascii="Verdana" w:hAnsi="Verdana"/>
          <w:sz w:val="20"/>
          <w:szCs w:val="20"/>
        </w:rPr>
        <w:t xml:space="preserve">Como amplificador del sistema, dispondrá de cuatro entradas de </w:t>
      </w:r>
      <w:bookmarkStart w:id="0" w:name="_GoBack"/>
      <w:bookmarkEnd w:id="0"/>
      <w:r>
        <w:rPr>
          <w:rFonts w:ascii="Verdana" w:hAnsi="Verdana"/>
          <w:sz w:val="20"/>
          <w:szCs w:val="20"/>
        </w:rPr>
        <w:t>audio automáticas seleccionables a través de conectores RJ45. También se podrá utilizar una entrada local sin perder la supervisión del sistema y la línea.</w:t>
      </w:r>
    </w:p>
    <w:p w:rsidR="005B4D95" w:rsidRPr="006818CE" w:rsidRDefault="005B4D95" w:rsidP="005B4D95">
      <w:pPr>
        <w:rPr>
          <w:rFonts w:ascii="Verdana" w:hAnsi="Verdana"/>
          <w:sz w:val="20"/>
          <w:szCs w:val="20"/>
        </w:rPr>
      </w:pPr>
      <w:r>
        <w:rPr>
          <w:rFonts w:ascii="Verdana" w:hAnsi="Verdana"/>
          <w:sz w:val="20"/>
          <w:szCs w:val="20"/>
        </w:rPr>
        <w:t>Se requerirá la utilización de la entrada local en caso de que se utilice de modo independiente.</w:t>
      </w:r>
    </w:p>
    <w:p w:rsidR="005B4D95" w:rsidRPr="006818CE" w:rsidRDefault="005B4D95" w:rsidP="005B4D95">
      <w:pPr>
        <w:rPr>
          <w:rFonts w:ascii="Verdana" w:hAnsi="Verdana"/>
          <w:sz w:val="20"/>
          <w:szCs w:val="20"/>
        </w:rPr>
      </w:pPr>
      <w:r>
        <w:rPr>
          <w:rFonts w:ascii="Verdana" w:hAnsi="Verdana"/>
          <w:sz w:val="20"/>
          <w:szCs w:val="20"/>
        </w:rPr>
        <w:t xml:space="preserve">La entrada local será configurable, de forma que se pueda usar como una entrada de fuente para un sistema instalado, como por ejemplo un sistema externo de megafonía y tanbien como entrada de una fuente local. </w:t>
      </w:r>
      <w:r>
        <w:rPr>
          <w:rFonts w:ascii="Verdana" w:hAnsi="Verdana"/>
          <w:sz w:val="20"/>
          <w:szCs w:val="20"/>
        </w:rPr>
        <w:br/>
        <w:t>El amplificador tendrá las siguientes especificaciones:</w:t>
      </w:r>
    </w:p>
    <w:p w:rsidR="005B4D95" w:rsidRPr="006818CE" w:rsidRDefault="005B4D95" w:rsidP="005B4D95">
      <w:pPr>
        <w:rPr>
          <w:rFonts w:ascii="Verdana" w:hAnsi="Verdana"/>
          <w:sz w:val="20"/>
          <w:szCs w:val="20"/>
        </w:rPr>
      </w:pPr>
    </w:p>
    <w:p w:rsidR="006B1319" w:rsidRDefault="006B1319" w:rsidP="005B4D95">
      <w:pPr>
        <w:numPr>
          <w:ilvl w:val="0"/>
          <w:numId w:val="1"/>
        </w:numPr>
        <w:rPr>
          <w:rFonts w:ascii="Verdana" w:hAnsi="Verdana"/>
          <w:sz w:val="20"/>
          <w:szCs w:val="20"/>
        </w:rPr>
      </w:pPr>
      <w:r>
        <w:rPr>
          <w:rFonts w:ascii="Verdana" w:hAnsi="Verdana"/>
          <w:sz w:val="20"/>
          <w:szCs w:val="20"/>
        </w:rPr>
        <w:t xml:space="preserve">Máx. carga del amplificador: 2 x 500 W </w:t>
      </w:r>
    </w:p>
    <w:p w:rsidR="005B4D95" w:rsidRPr="006818CE" w:rsidRDefault="005B4D95" w:rsidP="005B4D95">
      <w:pPr>
        <w:numPr>
          <w:ilvl w:val="0"/>
          <w:numId w:val="1"/>
        </w:numPr>
        <w:rPr>
          <w:rFonts w:ascii="Verdana" w:hAnsi="Verdana"/>
          <w:sz w:val="20"/>
          <w:szCs w:val="20"/>
        </w:rPr>
      </w:pPr>
      <w:r>
        <w:rPr>
          <w:rFonts w:ascii="Verdana" w:hAnsi="Verdana"/>
          <w:sz w:val="20"/>
          <w:szCs w:val="20"/>
        </w:rPr>
        <w:t>Amplificador de clase D</w:t>
      </w:r>
    </w:p>
    <w:p w:rsidR="005B4D95" w:rsidRPr="00703E5F" w:rsidRDefault="005B4D95" w:rsidP="005B4D95">
      <w:pPr>
        <w:numPr>
          <w:ilvl w:val="0"/>
          <w:numId w:val="1"/>
        </w:numPr>
        <w:rPr>
          <w:rFonts w:ascii="Verdana" w:hAnsi="Verdana"/>
          <w:sz w:val="20"/>
          <w:szCs w:val="20"/>
        </w:rPr>
      </w:pPr>
      <w:r>
        <w:rPr>
          <w:rFonts w:ascii="Verdana" w:hAnsi="Verdana"/>
          <w:sz w:val="20"/>
          <w:szCs w:val="20"/>
        </w:rPr>
        <w:t>4 entradas de canal a través de conector RJ45, entrada y salida Amp Link</w:t>
      </w:r>
      <w:r>
        <w:rPr>
          <w:rFonts w:ascii="Verdana" w:hAnsi="Verdana"/>
          <w:sz w:val="20"/>
          <w:szCs w:val="20"/>
        </w:rPr>
        <w:br/>
        <w:t>(4 entradas dinámicas de canal conmutables para cada  amplificador)</w:t>
      </w:r>
    </w:p>
    <w:p w:rsidR="005B4D95" w:rsidRPr="00703E5F" w:rsidRDefault="005B4D95" w:rsidP="005B4D95">
      <w:pPr>
        <w:numPr>
          <w:ilvl w:val="0"/>
          <w:numId w:val="1"/>
        </w:numPr>
        <w:rPr>
          <w:rFonts w:ascii="Verdana" w:hAnsi="Verdana"/>
          <w:sz w:val="20"/>
          <w:szCs w:val="20"/>
        </w:rPr>
      </w:pPr>
      <w:r>
        <w:rPr>
          <w:rFonts w:ascii="Verdana" w:hAnsi="Verdana"/>
          <w:sz w:val="20"/>
          <w:szCs w:val="20"/>
        </w:rPr>
        <w:t xml:space="preserve">Entrada local en el amplificador: </w:t>
      </w:r>
      <w:r>
        <w:rPr>
          <w:rFonts w:ascii="Verdana" w:hAnsi="Verdana"/>
          <w:sz w:val="20"/>
          <w:szCs w:val="20"/>
        </w:rPr>
        <w:br/>
        <w:t xml:space="preserve">Activada a través del software de configuración o seleccionada automáticamente cuando la dirección del amplificador está establecida en la dirección "0", </w:t>
      </w:r>
      <w:r>
        <w:rPr>
          <w:rFonts w:ascii="Verdana" w:hAnsi="Verdana"/>
          <w:sz w:val="20"/>
          <w:szCs w:val="20"/>
        </w:rPr>
        <w:br/>
        <w:t>El canal 4 del sistema se usará como canal de supervisión en caso de que se utilicen entradas locales.</w:t>
      </w:r>
    </w:p>
    <w:p w:rsidR="005B4D95" w:rsidRPr="006818CE" w:rsidRDefault="005B4D95" w:rsidP="005B4D95">
      <w:pPr>
        <w:numPr>
          <w:ilvl w:val="0"/>
          <w:numId w:val="1"/>
        </w:numPr>
        <w:rPr>
          <w:rFonts w:ascii="Verdana" w:hAnsi="Verdana"/>
          <w:sz w:val="20"/>
          <w:szCs w:val="20"/>
        </w:rPr>
      </w:pPr>
      <w:r>
        <w:rPr>
          <w:rFonts w:ascii="Verdana" w:hAnsi="Verdana"/>
          <w:sz w:val="20"/>
          <w:szCs w:val="20"/>
        </w:rPr>
        <w:t>Bucle a través de conector RJ45 (4 canales)</w:t>
      </w:r>
    </w:p>
    <w:p w:rsidR="006B1319" w:rsidRDefault="006B1319" w:rsidP="005B4D95">
      <w:pPr>
        <w:numPr>
          <w:ilvl w:val="0"/>
          <w:numId w:val="1"/>
        </w:numPr>
        <w:rPr>
          <w:rFonts w:ascii="Verdana" w:hAnsi="Verdana"/>
          <w:sz w:val="20"/>
          <w:szCs w:val="20"/>
        </w:rPr>
      </w:pPr>
      <w:r>
        <w:rPr>
          <w:rFonts w:ascii="Verdana" w:hAnsi="Verdana"/>
          <w:sz w:val="20"/>
          <w:szCs w:val="20"/>
        </w:rPr>
        <w:t>Limitador integrado</w:t>
      </w:r>
    </w:p>
    <w:p w:rsidR="005B4D95" w:rsidRPr="006B1319" w:rsidRDefault="005B4D95" w:rsidP="005B4D95">
      <w:pPr>
        <w:numPr>
          <w:ilvl w:val="0"/>
          <w:numId w:val="1"/>
        </w:numPr>
        <w:rPr>
          <w:rFonts w:ascii="Verdana" w:hAnsi="Verdana"/>
          <w:sz w:val="20"/>
          <w:szCs w:val="20"/>
        </w:rPr>
      </w:pPr>
      <w:r>
        <w:rPr>
          <w:rFonts w:ascii="Verdana" w:hAnsi="Verdana"/>
          <w:sz w:val="20"/>
          <w:szCs w:val="20"/>
        </w:rPr>
        <w:t>Interruptor de alimentación de CA en la parte posterior</w:t>
      </w:r>
    </w:p>
    <w:p w:rsidR="005B4D95" w:rsidRPr="006B1319" w:rsidRDefault="005B4D95" w:rsidP="005B4D95">
      <w:pPr>
        <w:numPr>
          <w:ilvl w:val="0"/>
          <w:numId w:val="1"/>
        </w:numPr>
        <w:rPr>
          <w:rFonts w:ascii="Verdana" w:hAnsi="Verdana"/>
          <w:sz w:val="20"/>
          <w:szCs w:val="20"/>
        </w:rPr>
      </w:pPr>
      <w:r>
        <w:rPr>
          <w:rFonts w:ascii="Verdana" w:hAnsi="Verdana"/>
          <w:sz w:val="20"/>
          <w:szCs w:val="20"/>
        </w:rPr>
        <w:t>Entrada de CC de 24 V</w:t>
      </w:r>
    </w:p>
    <w:p w:rsidR="005B4D95" w:rsidRPr="006818CE" w:rsidRDefault="005B4D95" w:rsidP="005B4D95">
      <w:pPr>
        <w:numPr>
          <w:ilvl w:val="0"/>
          <w:numId w:val="1"/>
        </w:numPr>
        <w:rPr>
          <w:rFonts w:ascii="Verdana" w:hAnsi="Verdana"/>
          <w:sz w:val="20"/>
          <w:szCs w:val="20"/>
        </w:rPr>
      </w:pPr>
      <w:r>
        <w:rPr>
          <w:rFonts w:ascii="Verdana" w:hAnsi="Verdana"/>
          <w:sz w:val="20"/>
          <w:szCs w:val="20"/>
        </w:rPr>
        <w:t>Flujo de ventilación de la parte frontal a la posterior</w:t>
      </w:r>
    </w:p>
    <w:p w:rsidR="005B4D95" w:rsidRPr="006B1319" w:rsidRDefault="005B4D95" w:rsidP="005B4D95">
      <w:pPr>
        <w:rPr>
          <w:rFonts w:ascii="Verdana" w:hAnsi="Verdana"/>
          <w:sz w:val="20"/>
          <w:szCs w:val="20"/>
        </w:rPr>
      </w:pPr>
    </w:p>
    <w:p w:rsidR="00530177" w:rsidRPr="006B1319" w:rsidRDefault="00530177" w:rsidP="005B4D95">
      <w:pPr>
        <w:pStyle w:val="Heading3"/>
        <w:jc w:val="both"/>
        <w:rPr>
          <w:sz w:val="20"/>
        </w:rPr>
      </w:pPr>
    </w:p>
    <w:p w:rsidR="006B1319" w:rsidRDefault="006B1319" w:rsidP="006B1319">
      <w:pPr>
        <w:autoSpaceDE w:val="0"/>
        <w:autoSpaceDN w:val="0"/>
        <w:adjustRightInd w:val="0"/>
        <w:spacing w:line="299" w:lineRule="exact"/>
        <w:ind w:left="40" w:right="-20"/>
        <w:rPr>
          <w:rFonts w:ascii="Verdana" w:hAnsi="Verdana" w:cs="Bosch Office Sans"/>
          <w:color w:val="231F20"/>
          <w:w w:val="111"/>
          <w:sz w:val="30"/>
          <w:szCs w:val="30"/>
          <w:lang w:eastAsia="de-DE"/>
        </w:rPr>
      </w:pPr>
      <w:r>
        <w:rPr>
          <w:rFonts w:ascii="Verdana" w:hAnsi="Verdana" w:cs="Bosch Office Sans"/>
          <w:color w:val="231F20"/>
          <w:sz w:val="30"/>
          <w:szCs w:val="30"/>
        </w:rPr>
        <w:br w:type="page"/>
      </w:r>
    </w:p>
    <w:p w:rsidR="006B1319" w:rsidRPr="006B1319" w:rsidRDefault="006B1319" w:rsidP="006B1319">
      <w:pPr>
        <w:autoSpaceDE w:val="0"/>
        <w:autoSpaceDN w:val="0"/>
        <w:adjustRightInd w:val="0"/>
        <w:spacing w:line="299" w:lineRule="exact"/>
        <w:ind w:left="40" w:right="-20"/>
        <w:rPr>
          <w:rFonts w:ascii="Verdana" w:hAnsi="Verdana" w:cs="Bosch Office Sans"/>
          <w:color w:val="000000"/>
          <w:sz w:val="30"/>
          <w:szCs w:val="30"/>
          <w:lang w:eastAsia="de-DE"/>
        </w:rPr>
      </w:pPr>
      <w:r>
        <w:rPr>
          <w:rFonts w:ascii="Verdana" w:hAnsi="Verdana" w:cs="Bosch Office Sans"/>
          <w:color w:val="231F20"/>
          <w:sz w:val="30"/>
          <w:szCs w:val="30"/>
        </w:rPr>
        <w:lastRenderedPageBreak/>
        <w:t>Datos técnicos</w:t>
      </w:r>
    </w:p>
    <w:p w:rsidR="00DB1173" w:rsidRDefault="00DB1173"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r>
        <w:rPr>
          <w:rFonts w:ascii="Meiryo" w:eastAsia="Meiryo" w:cs="Meiryo"/>
          <w:b/>
          <w:color w:val="231F20"/>
          <w:sz w:val="18"/>
          <w:szCs w:val="18"/>
        </w:rPr>
        <w:t>Especificaci</w:t>
      </w:r>
      <w:r>
        <w:rPr>
          <w:rFonts w:ascii="Meiryo" w:eastAsia="Meiryo" w:cs="Meiryo"/>
          <w:b/>
          <w:color w:val="231F20"/>
          <w:sz w:val="18"/>
          <w:szCs w:val="18"/>
        </w:rPr>
        <w:t>ó</w:t>
      </w:r>
      <w:r>
        <w:rPr>
          <w:rFonts w:ascii="Meiryo" w:eastAsia="Meiryo" w:cs="Meiryo"/>
          <w:b/>
          <w:color w:val="231F20"/>
          <w:sz w:val="18"/>
          <w:szCs w:val="18"/>
        </w:rPr>
        <w:t>n</w:t>
      </w:r>
    </w:p>
    <w:p w:rsidR="00493853" w:rsidRPr="00DB1173" w:rsidRDefault="00493853" w:rsidP="00DB1173">
      <w:pPr>
        <w:autoSpaceDE w:val="0"/>
        <w:autoSpaceDN w:val="0"/>
        <w:adjustRightInd w:val="0"/>
        <w:spacing w:line="220" w:lineRule="exact"/>
        <w:ind w:left="40" w:right="-20"/>
        <w:rPr>
          <w:rFonts w:ascii="Meiryo" w:eastAsia="Meiryo" w:cs="Meiryo"/>
          <w:b/>
          <w:color w:val="000000"/>
          <w:sz w:val="18"/>
          <w:szCs w:val="18"/>
          <w:lang w:eastAsia="zh-CN"/>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5"/>
        <w:gridCol w:w="3437"/>
      </w:tblGrid>
      <w:tr w:rsidR="00493853" w:rsidRPr="00DB1173" w:rsidTr="00DB1173">
        <w:trPr>
          <w:trHeight w:hRule="exact" w:val="396"/>
        </w:trPr>
        <w:tc>
          <w:tcPr>
            <w:tcW w:w="4235" w:type="dxa"/>
          </w:tcPr>
          <w:p w:rsidR="00493853" w:rsidRDefault="00493853" w:rsidP="00493853">
            <w:pPr>
              <w:autoSpaceDE w:val="0"/>
              <w:autoSpaceDN w:val="0"/>
              <w:adjustRightInd w:val="0"/>
              <w:spacing w:line="179" w:lineRule="exact"/>
              <w:ind w:left="4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Impedancia de carga nominal (potencia de salida)</w:t>
            </w:r>
          </w:p>
          <w:p w:rsidR="00493853" w:rsidRPr="00DB1173" w:rsidRDefault="00493853" w:rsidP="00DB1173">
            <w:pPr>
              <w:autoSpaceDE w:val="0"/>
              <w:autoSpaceDN w:val="0"/>
              <w:adjustRightInd w:val="0"/>
              <w:spacing w:line="336" w:lineRule="exact"/>
              <w:ind w:left="57" w:right="-20"/>
              <w:rPr>
                <w:rFonts w:ascii="Meiryo" w:eastAsia="Meiryo" w:cs="Meiryo"/>
                <w:color w:val="231F20"/>
                <w:w w:val="75"/>
                <w:position w:val="1"/>
                <w:sz w:val="18"/>
                <w:szCs w:val="18"/>
                <w:lang w:eastAsia="zh-CN"/>
              </w:rPr>
            </w:pPr>
          </w:p>
        </w:tc>
        <w:tc>
          <w:tcPr>
            <w:tcW w:w="3437" w:type="dxa"/>
          </w:tcPr>
          <w:p w:rsidR="00493853" w:rsidRPr="00DB1173" w:rsidRDefault="00493853" w:rsidP="00DB1173">
            <w:pPr>
              <w:autoSpaceDE w:val="0"/>
              <w:autoSpaceDN w:val="0"/>
              <w:adjustRightInd w:val="0"/>
              <w:spacing w:line="336" w:lineRule="exact"/>
              <w:ind w:left="57" w:right="-20"/>
              <w:rPr>
                <w:rFonts w:ascii="Meiryo" w:eastAsia="Meiryo" w:cs="Meiryo"/>
                <w:color w:val="231F20"/>
                <w:position w:val="1"/>
                <w:sz w:val="18"/>
                <w:szCs w:val="18"/>
                <w:lang w:eastAsia="zh-CN"/>
              </w:rPr>
            </w:pP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 xml:space="preserve">20 </w:t>
            </w:r>
            <w:r>
              <w:rPr>
                <w:rFonts w:ascii="Meiryo" w:eastAsia="Meiryo" w:cs="Meiryo"/>
                <w:color w:val="231F20"/>
                <w:sz w:val="18"/>
                <w:szCs w:val="18"/>
              </w:rPr>
              <w:t>Ω</w:t>
            </w:r>
            <w:r>
              <w:rPr>
                <w:rFonts w:ascii="Meiryo" w:eastAsia="Meiryo" w:cs="Meiryo"/>
                <w:color w:val="231F20"/>
                <w:sz w:val="18"/>
                <w:szCs w:val="18"/>
              </w:rPr>
              <w:t xml:space="preserve"> (500 W)</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 xml:space="preserve">10 </w:t>
            </w:r>
            <w:r>
              <w:rPr>
                <w:rFonts w:ascii="Meiryo" w:eastAsia="Meiryo" w:cs="Meiryo"/>
                <w:color w:val="231F20"/>
                <w:sz w:val="18"/>
                <w:szCs w:val="18"/>
              </w:rPr>
              <w:t>Ω</w:t>
            </w:r>
            <w:r>
              <w:rPr>
                <w:rFonts w:ascii="Meiryo" w:eastAsia="Meiryo" w:cs="Meiryo"/>
                <w:color w:val="231F20"/>
                <w:sz w:val="18"/>
                <w:szCs w:val="18"/>
              </w:rPr>
              <w:t xml:space="preserve"> (500 W)</w:t>
            </w:r>
          </w:p>
        </w:tc>
      </w:tr>
      <w:tr w:rsidR="00DB1173" w:rsidRPr="00DB1173" w:rsidTr="00896D9F">
        <w:trPr>
          <w:trHeight w:hRule="exact" w:val="76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Potencia de salida nominal, 1 kHz, distorsi</w:t>
            </w:r>
            <w:r>
              <w:rPr>
                <w:rFonts w:ascii="Meiryo" w:eastAsia="Meiryo" w:cs="Meiryo"/>
                <w:color w:val="231F20"/>
                <w:sz w:val="18"/>
                <w:szCs w:val="18"/>
              </w:rPr>
              <w:t>ó</w:t>
            </w:r>
            <w:r>
              <w:rPr>
                <w:rFonts w:ascii="Meiryo" w:eastAsia="Meiryo" w:cs="Meiryo"/>
                <w:color w:val="231F20"/>
                <w:sz w:val="18"/>
                <w:szCs w:val="18"/>
              </w:rPr>
              <w:t>n arm</w:t>
            </w:r>
            <w:r>
              <w:rPr>
                <w:rFonts w:ascii="Meiryo" w:eastAsia="Meiryo" w:cs="Meiryo"/>
                <w:color w:val="231F20"/>
                <w:sz w:val="18"/>
                <w:szCs w:val="18"/>
              </w:rPr>
              <w:t>ó</w:t>
            </w:r>
            <w:r>
              <w:rPr>
                <w:rFonts w:ascii="Meiryo" w:eastAsia="Meiryo" w:cs="Meiryo"/>
                <w:color w:val="231F20"/>
                <w:sz w:val="18"/>
                <w:szCs w:val="18"/>
              </w:rPr>
              <w:t xml:space="preserve">nica total (THD) </w:t>
            </w:r>
            <w:r>
              <w:rPr>
                <w:rFonts w:ascii="Meiryo" w:eastAsia="Meiryo" w:cs="Meiryo"/>
                <w:color w:val="231F20"/>
                <w:sz w:val="18"/>
                <w:szCs w:val="18"/>
              </w:rPr>
              <w:t>≤</w:t>
            </w:r>
            <w:r>
              <w:rPr>
                <w:rFonts w:ascii="Meiryo" w:eastAsia="Meiryo" w:cs="Meiryo"/>
                <w:color w:val="231F20"/>
                <w:sz w:val="18"/>
                <w:szCs w:val="18"/>
              </w:rPr>
              <w:t xml:space="preserve"> 1 %</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 xml:space="preserve">2 </w:t>
            </w:r>
            <w:r>
              <w:rPr>
                <w:rFonts w:ascii="Arial Unicode MS" w:eastAsia="Arial Unicode MS" w:cs="Arial Unicode MS"/>
                <w:color w:val="231F20"/>
                <w:sz w:val="18"/>
                <w:szCs w:val="18"/>
              </w:rPr>
              <w:t>✕</w:t>
            </w:r>
            <w:r>
              <w:rPr>
                <w:rFonts w:ascii="Arial Unicode MS" w:eastAsia="Arial Unicode MS" w:cs="Arial Unicode MS"/>
                <w:color w:val="231F20"/>
                <w:sz w:val="18"/>
                <w:szCs w:val="18"/>
              </w:rPr>
              <w:t xml:space="preserve"> </w:t>
            </w:r>
            <w:r>
              <w:rPr>
                <w:rFonts w:ascii="Meiryo" w:eastAsia="Meiryo" w:cs="Meiryo"/>
                <w:color w:val="231F20"/>
                <w:sz w:val="18"/>
                <w:szCs w:val="18"/>
              </w:rPr>
              <w:t>500 W</w:t>
            </w:r>
            <w:r>
              <w:rPr>
                <w:rFonts w:ascii="Meiryo" w:eastAsia="Meiryo" w:cs="Meiryo"/>
                <w:color w:val="231F20"/>
                <w:sz w:val="11"/>
                <w:szCs w:val="11"/>
              </w:rPr>
              <w:t>1</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Tensi</w:t>
            </w:r>
            <w:r>
              <w:rPr>
                <w:rFonts w:ascii="Meiryo" w:eastAsia="Meiryo" w:cs="Meiryo"/>
                <w:color w:val="231F20"/>
                <w:sz w:val="18"/>
                <w:szCs w:val="18"/>
              </w:rPr>
              <w:t>ó</w:t>
            </w:r>
            <w:r>
              <w:rPr>
                <w:rFonts w:ascii="Meiryo" w:eastAsia="Meiryo" w:cs="Meiryo"/>
                <w:color w:val="231F20"/>
                <w:sz w:val="18"/>
                <w:szCs w:val="18"/>
              </w:rPr>
              <w:t>n de entrada nominal</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+6 dBu</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M</w:t>
            </w:r>
            <w:r>
              <w:rPr>
                <w:rFonts w:ascii="Meiryo" w:eastAsia="Meiryo" w:cs="Meiryo"/>
                <w:color w:val="231F20"/>
                <w:sz w:val="18"/>
                <w:szCs w:val="18"/>
              </w:rPr>
              <w:t>á</w:t>
            </w:r>
            <w:r>
              <w:rPr>
                <w:rFonts w:ascii="Meiryo" w:eastAsia="Meiryo" w:cs="Meiryo"/>
                <w:color w:val="231F20"/>
                <w:sz w:val="18"/>
                <w:szCs w:val="18"/>
              </w:rPr>
              <w:t>xima oscilaci</w:t>
            </w:r>
            <w:r>
              <w:rPr>
                <w:rFonts w:ascii="Meiryo" w:eastAsia="Meiryo" w:cs="Meiryo"/>
                <w:color w:val="231F20"/>
                <w:sz w:val="18"/>
                <w:szCs w:val="18"/>
              </w:rPr>
              <w:t>ó</w:t>
            </w:r>
            <w:r>
              <w:rPr>
                <w:rFonts w:ascii="Meiryo" w:eastAsia="Meiryo" w:cs="Meiryo"/>
                <w:color w:val="231F20"/>
                <w:sz w:val="18"/>
                <w:szCs w:val="18"/>
              </w:rPr>
              <w:t>n de tensi</w:t>
            </w:r>
            <w:r>
              <w:rPr>
                <w:rFonts w:ascii="Meiryo" w:eastAsia="Meiryo" w:cs="Meiryo"/>
                <w:color w:val="231F20"/>
                <w:sz w:val="18"/>
                <w:szCs w:val="18"/>
              </w:rPr>
              <w:t>ó</w:t>
            </w:r>
            <w:r>
              <w:rPr>
                <w:rFonts w:ascii="Meiryo" w:eastAsia="Meiryo" w:cs="Meiryo"/>
                <w:color w:val="231F20"/>
                <w:sz w:val="18"/>
                <w:szCs w:val="18"/>
              </w:rPr>
              <w:t>n RMS, 1</w:t>
            </w:r>
            <w:r>
              <w:rPr>
                <w:rFonts w:ascii="Meiryo" w:eastAsia="Meiryo" w:cs="Meiryo"/>
                <w:color w:val="231F20"/>
                <w:sz w:val="18"/>
                <w:szCs w:val="18"/>
              </w:rPr>
              <w:t> </w:t>
            </w:r>
            <w:r>
              <w:rPr>
                <w:rFonts w:ascii="Meiryo" w:eastAsia="Meiryo" w:cs="Meiryo"/>
                <w:color w:val="231F20"/>
                <w:sz w:val="18"/>
                <w:szCs w:val="18"/>
              </w:rPr>
              <w:t xml:space="preserve">kHz, THD </w:t>
            </w:r>
            <w:r>
              <w:rPr>
                <w:rFonts w:ascii="Meiryo" w:eastAsia="Meiryo" w:cs="Meiryo"/>
                <w:color w:val="231F20"/>
                <w:sz w:val="18"/>
                <w:szCs w:val="18"/>
              </w:rPr>
              <w:t>≤ </w:t>
            </w:r>
            <w:r>
              <w:rPr>
                <w:rFonts w:ascii="Meiryo" w:eastAsia="Meiryo" w:cs="Meiryo"/>
                <w:color w:val="231F20"/>
                <w:sz w:val="18"/>
                <w:szCs w:val="18"/>
              </w:rPr>
              <w:t>1</w:t>
            </w:r>
            <w:r>
              <w:rPr>
                <w:rFonts w:ascii="Meiryo" w:eastAsia="Meiryo" w:cs="Meiryo"/>
                <w:color w:val="231F20"/>
                <w:sz w:val="18"/>
                <w:szCs w:val="18"/>
              </w:rPr>
              <w:t> </w:t>
            </w:r>
            <w:r>
              <w:rPr>
                <w:rFonts w:ascii="Meiryo" w:eastAsia="Meiryo" w:cs="Meiryo"/>
                <w:color w:val="231F20"/>
                <w:sz w:val="18"/>
                <w:szCs w:val="18"/>
              </w:rPr>
              <w:t>%, sin carga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110</w:t>
            </w:r>
            <w:r>
              <w:rPr>
                <w:rFonts w:ascii="Meiryo" w:eastAsia="Meiryo" w:cs="Meiryo"/>
                <w:color w:val="231F20"/>
                <w:sz w:val="18"/>
                <w:szCs w:val="18"/>
              </w:rPr>
              <w:t> </w:t>
            </w:r>
            <w:r>
              <w:rPr>
                <w:rFonts w:ascii="Meiryo" w:eastAsia="Meiryo" w:cs="Meiryo"/>
                <w:color w:val="231F20"/>
                <w:sz w:val="18"/>
                <w:szCs w:val="18"/>
              </w:rPr>
              <w:t>V</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78</w:t>
            </w:r>
            <w:r>
              <w:rPr>
                <w:rFonts w:ascii="Meiryo" w:eastAsia="Meiryo" w:cs="Meiryo"/>
                <w:color w:val="231F20"/>
                <w:sz w:val="18"/>
                <w:szCs w:val="18"/>
              </w:rPr>
              <w:t> </w:t>
            </w:r>
            <w:r>
              <w:rPr>
                <w:rFonts w:ascii="Meiryo" w:eastAsia="Meiryo" w:cs="Meiryo"/>
                <w:color w:val="231F20"/>
                <w:sz w:val="18"/>
                <w:szCs w:val="18"/>
              </w:rPr>
              <w:t>V</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Ganancia de tensi</w:t>
            </w:r>
            <w:r>
              <w:rPr>
                <w:rFonts w:ascii="Meiryo" w:eastAsia="Meiryo" w:cs="Meiryo"/>
                <w:color w:val="231F20"/>
                <w:sz w:val="18"/>
                <w:szCs w:val="18"/>
              </w:rPr>
              <w:t>ó</w:t>
            </w:r>
            <w:r>
              <w:rPr>
                <w:rFonts w:ascii="Meiryo" w:eastAsia="Meiryo" w:cs="Meiryo"/>
                <w:color w:val="231F20"/>
                <w:sz w:val="18"/>
                <w:szCs w:val="18"/>
              </w:rPr>
              <w:t>n, ref. 1</w:t>
            </w:r>
            <w:r>
              <w:rPr>
                <w:rFonts w:ascii="Meiryo" w:eastAsia="Meiryo" w:cs="Meiryo"/>
                <w:color w:val="231F20"/>
                <w:sz w:val="18"/>
                <w:szCs w:val="18"/>
              </w:rPr>
              <w:t> </w:t>
            </w:r>
            <w:r>
              <w:rPr>
                <w:rFonts w:ascii="Meiryo" w:eastAsia="Meiryo" w:cs="Meiryo"/>
                <w:color w:val="231F20"/>
                <w:sz w:val="18"/>
                <w:szCs w:val="18"/>
              </w:rPr>
              <w:t>kHz, fija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33,2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36,2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M</w:t>
            </w:r>
            <w:r>
              <w:rPr>
                <w:rFonts w:ascii="Meiryo" w:eastAsia="Meiryo" w:cs="Meiryo"/>
                <w:color w:val="231F20"/>
                <w:sz w:val="18"/>
                <w:szCs w:val="18"/>
              </w:rPr>
              <w:t>á</w:t>
            </w:r>
            <w:r>
              <w:rPr>
                <w:rFonts w:ascii="Meiryo" w:eastAsia="Meiryo" w:cs="Meiryo"/>
                <w:color w:val="231F20"/>
                <w:sz w:val="18"/>
                <w:szCs w:val="18"/>
              </w:rPr>
              <w:t>xima capacitancia de carga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2</w:t>
            </w:r>
            <w:r>
              <w:rPr>
                <w:rFonts w:ascii="Meiryo" w:eastAsia="Meiryo" w:cs="Meiryo"/>
                <w:color w:val="231F20"/>
                <w:sz w:val="18"/>
                <w:szCs w:val="18"/>
              </w:rPr>
              <w:t> µ</w:t>
            </w:r>
            <w:r>
              <w:rPr>
                <w:rFonts w:ascii="Meiryo" w:eastAsia="Meiryo" w:cs="Meiryo"/>
                <w:color w:val="231F20"/>
                <w:sz w:val="18"/>
                <w:szCs w:val="18"/>
              </w:rPr>
              <w:t>F</w:t>
            </w:r>
          </w:p>
        </w:tc>
      </w:tr>
      <w:tr w:rsidR="00DB1173" w:rsidRPr="00DB1173" w:rsidTr="00DB1173">
        <w:trPr>
          <w:trHeight w:hRule="exact" w:val="421"/>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Nivel de entrada m</w:t>
            </w:r>
            <w:r>
              <w:rPr>
                <w:rFonts w:ascii="Meiryo" w:eastAsia="Meiryo" w:cs="Meiryo"/>
                <w:color w:val="231F20"/>
                <w:sz w:val="18"/>
                <w:szCs w:val="18"/>
              </w:rPr>
              <w:t>á</w:t>
            </w:r>
            <w:r>
              <w:rPr>
                <w:rFonts w:ascii="Meiryo" w:eastAsia="Meiryo" w:cs="Meiryo"/>
                <w:color w:val="231F20"/>
                <w:sz w:val="18"/>
                <w:szCs w:val="18"/>
              </w:rPr>
              <w:t>ximo</w:t>
            </w:r>
          </w:p>
        </w:tc>
        <w:tc>
          <w:tcPr>
            <w:tcW w:w="3437" w:type="dxa"/>
          </w:tcPr>
          <w:p w:rsidR="00DB1173" w:rsidRPr="00DB1173" w:rsidRDefault="00DB1173" w:rsidP="00DB1173">
            <w:pPr>
              <w:autoSpaceDE w:val="0"/>
              <w:autoSpaceDN w:val="0"/>
              <w:adjustRightInd w:val="0"/>
              <w:spacing w:line="345" w:lineRule="exact"/>
              <w:ind w:left="57" w:right="-20"/>
              <w:rPr>
                <w:lang w:eastAsia="zh-CN"/>
              </w:rPr>
            </w:pPr>
            <w:r>
              <w:rPr>
                <w:rFonts w:ascii="Meiryo" w:eastAsia="Meiryo" w:cs="Meiryo"/>
                <w:color w:val="231F20"/>
                <w:sz w:val="18"/>
                <w:szCs w:val="18"/>
              </w:rPr>
              <w:t>+18 dBu (9,75 V</w:t>
            </w:r>
            <w:r>
              <w:rPr>
                <w:rFonts w:ascii="Meiryo" w:eastAsia="Meiryo" w:cs="Meiryo"/>
                <w:color w:val="231F20"/>
                <w:sz w:val="11"/>
                <w:szCs w:val="11"/>
              </w:rPr>
              <w:t>rms</w:t>
            </w:r>
            <w:r>
              <w:rPr>
                <w:rFonts w:ascii="Meiryo" w:eastAsia="Meiryo" w:cs="Meiryo"/>
                <w:color w:val="231F20"/>
                <w:sz w:val="18"/>
                <w:szCs w:val="18"/>
              </w:rPr>
              <w:t>)</w:t>
            </w:r>
          </w:p>
        </w:tc>
      </w:tr>
      <w:tr w:rsidR="00DB1173" w:rsidRPr="00DB1173" w:rsidTr="00896D9F">
        <w:trPr>
          <w:trHeight w:hRule="exact" w:val="1063"/>
        </w:trPr>
        <w:tc>
          <w:tcPr>
            <w:tcW w:w="4235" w:type="dxa"/>
          </w:tcPr>
          <w:p w:rsidR="00DB1173" w:rsidRPr="00896D9F" w:rsidRDefault="00DB1173" w:rsidP="00896D9F">
            <w:pPr>
              <w:autoSpaceDE w:val="0"/>
              <w:autoSpaceDN w:val="0"/>
              <w:adjustRightInd w:val="0"/>
              <w:spacing w:line="336" w:lineRule="exact"/>
              <w:ind w:left="57" w:right="-20"/>
              <w:rPr>
                <w:rFonts w:ascii="Meiryo" w:eastAsia="Meiryo" w:cs="Meiryo"/>
                <w:color w:val="000000"/>
                <w:sz w:val="18"/>
                <w:szCs w:val="18"/>
                <w:lang w:eastAsia="zh-CN"/>
              </w:rPr>
            </w:pPr>
            <w:r>
              <w:rPr>
                <w:rFonts w:ascii="Meiryo" w:eastAsia="Meiryo" w:cs="Meiryo"/>
                <w:color w:val="231F20"/>
                <w:sz w:val="18"/>
                <w:szCs w:val="18"/>
              </w:rPr>
              <w:t>Respuesta de frecuencia, ref. 1 kHz, carga nominal,</w:t>
            </w:r>
            <w:r w:rsidR="00896D9F">
              <w:rPr>
                <w:rFonts w:ascii="Meiryo" w:eastAsia="Meiryo" w:cs="Meiryo"/>
                <w:color w:val="000000"/>
                <w:sz w:val="18"/>
                <w:szCs w:val="18"/>
                <w:lang w:eastAsia="zh-CN"/>
              </w:rPr>
              <w:t xml:space="preserve"> </w:t>
            </w:r>
            <w:r>
              <w:rPr>
                <w:rFonts w:ascii="Meiryo" w:eastAsia="Meiryo" w:cs="Meiryo"/>
                <w:color w:val="231F20"/>
                <w:sz w:val="18"/>
                <w:szCs w:val="18"/>
              </w:rPr>
              <w:t>-3 dB</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De 50</w:t>
            </w:r>
            <w:r>
              <w:rPr>
                <w:rFonts w:ascii="Meiryo" w:eastAsia="Meiryo" w:cs="Meiryo"/>
                <w:color w:val="231F20"/>
                <w:sz w:val="18"/>
                <w:szCs w:val="18"/>
              </w:rPr>
              <w:t> </w:t>
            </w:r>
            <w:r>
              <w:rPr>
                <w:rFonts w:ascii="Meiryo" w:eastAsia="Meiryo" w:cs="Meiryo"/>
                <w:color w:val="231F20"/>
                <w:sz w:val="18"/>
                <w:szCs w:val="18"/>
              </w:rPr>
              <w:t>Hz a 25</w:t>
            </w:r>
            <w:r>
              <w:rPr>
                <w:rFonts w:ascii="Meiryo" w:eastAsia="Meiryo" w:cs="Meiryo"/>
                <w:color w:val="231F20"/>
                <w:sz w:val="18"/>
                <w:szCs w:val="18"/>
              </w:rPr>
              <w:t> </w:t>
            </w:r>
            <w:r>
              <w:rPr>
                <w:rFonts w:ascii="Meiryo" w:eastAsia="Meiryo" w:cs="Meiryo"/>
                <w:color w:val="231F20"/>
                <w:sz w:val="18"/>
                <w:szCs w:val="18"/>
              </w:rPr>
              <w:t>kHz</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Impedancia de entrada, balanceada activa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20</w:t>
            </w:r>
            <w:r>
              <w:rPr>
                <w:rFonts w:ascii="Meiryo" w:eastAsia="Meiryo" w:cs="Meiryo"/>
                <w:color w:val="231F20"/>
                <w:sz w:val="18"/>
                <w:szCs w:val="18"/>
              </w:rPr>
              <w:t> </w:t>
            </w:r>
            <w:r>
              <w:rPr>
                <w:rFonts w:ascii="Meiryo" w:eastAsia="Meiryo" w:cs="Meiryo"/>
                <w:color w:val="231F20"/>
                <w:sz w:val="18"/>
                <w:szCs w:val="18"/>
              </w:rPr>
              <w:t>k</w:t>
            </w:r>
            <w:r>
              <w:rPr>
                <w:rFonts w:ascii="Meiryo" w:eastAsia="Meiryo" w:cs="Meiryo"/>
                <w:color w:val="231F20"/>
                <w:sz w:val="18"/>
                <w:szCs w:val="18"/>
              </w:rPr>
              <w:t>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Relaci</w:t>
            </w:r>
            <w:r>
              <w:rPr>
                <w:rFonts w:ascii="Meiryo" w:eastAsia="Meiryo" w:cs="Meiryo"/>
                <w:color w:val="231F20"/>
                <w:sz w:val="18"/>
                <w:szCs w:val="18"/>
              </w:rPr>
              <w:t>ó</w:t>
            </w:r>
            <w:r>
              <w:rPr>
                <w:rFonts w:ascii="Meiryo" w:eastAsia="Meiryo" w:cs="Meiryo"/>
                <w:color w:val="231F20"/>
                <w:sz w:val="18"/>
                <w:szCs w:val="18"/>
              </w:rPr>
              <w:t>n se</w:t>
            </w:r>
            <w:r>
              <w:rPr>
                <w:rFonts w:ascii="Meiryo" w:eastAsia="Meiryo" w:cs="Meiryo"/>
                <w:color w:val="231F20"/>
                <w:sz w:val="18"/>
                <w:szCs w:val="18"/>
              </w:rPr>
              <w:t>ñ</w:t>
            </w:r>
            <w:r>
              <w:rPr>
                <w:rFonts w:ascii="Meiryo" w:eastAsia="Meiryo" w:cs="Meiryo"/>
                <w:color w:val="231F20"/>
                <w:sz w:val="18"/>
                <w:szCs w:val="18"/>
              </w:rPr>
              <w:t>al/ruido (con ponderaci</w:t>
            </w:r>
            <w:r>
              <w:rPr>
                <w:rFonts w:ascii="Meiryo" w:eastAsia="Meiryo" w:cs="Meiryo"/>
                <w:color w:val="231F20"/>
                <w:sz w:val="18"/>
                <w:szCs w:val="18"/>
              </w:rPr>
              <w:t>ó</w:t>
            </w:r>
            <w:r>
              <w:rPr>
                <w:rFonts w:ascii="Meiryo" w:eastAsia="Meiryo" w:cs="Meiryo"/>
                <w:color w:val="231F20"/>
                <w:sz w:val="18"/>
                <w:szCs w:val="18"/>
              </w:rPr>
              <w:t>n 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&gt; 104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Ruido de salida (con ponderaci</w:t>
            </w:r>
            <w:r>
              <w:rPr>
                <w:rFonts w:ascii="Meiryo" w:eastAsia="Meiryo" w:cs="Meiryo"/>
                <w:color w:val="231F20"/>
                <w:sz w:val="18"/>
                <w:szCs w:val="18"/>
              </w:rPr>
              <w:t>ó</w:t>
            </w:r>
            <w:r>
              <w:rPr>
                <w:rFonts w:ascii="Meiryo" w:eastAsia="Meiryo" w:cs="Meiryo"/>
                <w:color w:val="231F20"/>
                <w:sz w:val="18"/>
                <w:szCs w:val="18"/>
              </w:rPr>
              <w:t>n 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&lt; -62 dBu</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Diafon</w:t>
            </w:r>
            <w:r>
              <w:rPr>
                <w:rFonts w:ascii="Meiryo" w:eastAsia="Meiryo" w:cs="Meiryo"/>
                <w:color w:val="231F20"/>
                <w:sz w:val="18"/>
                <w:szCs w:val="18"/>
              </w:rPr>
              <w:t>í</w:t>
            </w:r>
            <w:r>
              <w:rPr>
                <w:rFonts w:ascii="Meiryo" w:eastAsia="Meiryo" w:cs="Meiryo"/>
                <w:color w:val="231F20"/>
                <w:sz w:val="18"/>
                <w:szCs w:val="18"/>
              </w:rPr>
              <w:t>a , ref. 1 kHz</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&lt; -85</w:t>
            </w:r>
            <w:r>
              <w:rPr>
                <w:rFonts w:ascii="Meiryo" w:eastAsia="Meiryo" w:cs="Meiryo"/>
                <w:color w:val="231F20"/>
                <w:sz w:val="18"/>
                <w:szCs w:val="18"/>
              </w:rPr>
              <w:t> </w:t>
            </w:r>
            <w:r>
              <w:rPr>
                <w:rFonts w:ascii="Meiryo" w:eastAsia="Meiryo" w:cs="Meiryo"/>
                <w:color w:val="231F20"/>
                <w:sz w:val="18"/>
                <w:szCs w:val="18"/>
              </w:rPr>
              <w:t>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Topolog</w:t>
            </w:r>
            <w:r>
              <w:rPr>
                <w:rFonts w:ascii="Meiryo" w:eastAsia="Meiryo" w:cs="Meiryo"/>
                <w:color w:val="231F20"/>
                <w:sz w:val="18"/>
                <w:szCs w:val="18"/>
              </w:rPr>
              <w:t>í</w:t>
            </w:r>
            <w:r>
              <w:rPr>
                <w:rFonts w:ascii="Meiryo" w:eastAsia="Meiryo" w:cs="Meiryo"/>
                <w:color w:val="231F20"/>
                <w:sz w:val="18"/>
                <w:szCs w:val="18"/>
              </w:rPr>
              <w:t>a del nivel de salida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Clase D, transformador, flotante</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Requisitos de alimentaci</w:t>
            </w:r>
            <w:r>
              <w:rPr>
                <w:rFonts w:ascii="Meiryo" w:eastAsia="Meiryo" w:cs="Meiryo"/>
                <w:color w:val="231F20"/>
                <w:sz w:val="18"/>
                <w:szCs w:val="18"/>
              </w:rPr>
              <w:t>ó</w:t>
            </w:r>
            <w:r>
              <w:rPr>
                <w:rFonts w:ascii="Meiryo" w:eastAsia="Meiryo" w:cs="Meiryo"/>
                <w:color w:val="231F20"/>
                <w:sz w:val="18"/>
                <w:szCs w:val="18"/>
              </w:rPr>
              <w:t>n</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AC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115</w:t>
            </w:r>
            <w:r>
              <w:rPr>
                <w:rFonts w:ascii="Meiryo" w:eastAsia="Meiryo" w:cs="Meiryo"/>
                <w:color w:val="231F20"/>
                <w:sz w:val="18"/>
                <w:szCs w:val="18"/>
              </w:rPr>
              <w:t>–</w:t>
            </w:r>
            <w:r>
              <w:rPr>
                <w:rFonts w:ascii="Meiryo" w:eastAsia="Meiryo" w:cs="Meiryo"/>
                <w:color w:val="231F20"/>
                <w:sz w:val="18"/>
                <w:szCs w:val="18"/>
              </w:rPr>
              <w:t>240 V (-10/+10%)</w:t>
            </w:r>
            <w:r>
              <w:rPr>
                <w:rFonts w:ascii="Meiryo" w:eastAsia="Meiryo" w:cs="Meiryo"/>
                <w:color w:val="231F20"/>
                <w:sz w:val="10"/>
                <w:szCs w:val="10"/>
              </w:rPr>
              <w:t>2</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w:t>
            </w:r>
            <w:r>
              <w:rPr>
                <w:rFonts w:ascii="Meiryo" w:eastAsia="Meiryo" w:cs="Meiryo"/>
                <w:color w:val="231F20"/>
                <w:sz w:val="18"/>
                <w:szCs w:val="18"/>
              </w:rPr>
              <w:t xml:space="preserve">       CC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21</w:t>
            </w:r>
            <w:r>
              <w:rPr>
                <w:rFonts w:ascii="Meiryo" w:eastAsia="Meiryo" w:cs="Meiryo"/>
                <w:color w:val="231F20"/>
                <w:sz w:val="18"/>
                <w:szCs w:val="18"/>
              </w:rPr>
              <w:noBreakHyphen/>
              <w:t>32 V</w:t>
            </w:r>
          </w:p>
        </w:tc>
      </w:tr>
      <w:tr w:rsidR="00DB1173" w:rsidRPr="00DB1173" w:rsidTr="00352D73">
        <w:trPr>
          <w:trHeight w:hRule="exact" w:val="847"/>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Consumo de energ</w:t>
            </w:r>
            <w:r>
              <w:rPr>
                <w:rFonts w:ascii="Meiryo" w:eastAsia="Meiryo" w:cs="Meiryo"/>
                <w:color w:val="231F20"/>
                <w:sz w:val="18"/>
                <w:szCs w:val="18"/>
              </w:rPr>
              <w:t>í</w:t>
            </w:r>
            <w:r>
              <w:rPr>
                <w:rFonts w:ascii="Meiryo" w:eastAsia="Meiryo" w:cs="Meiryo"/>
                <w:color w:val="231F20"/>
                <w:sz w:val="18"/>
                <w:szCs w:val="18"/>
              </w:rPr>
              <w:t>a, CA y CC</w:t>
            </w:r>
          </w:p>
        </w:tc>
        <w:tc>
          <w:tcPr>
            <w:tcW w:w="3437" w:type="dxa"/>
          </w:tcPr>
          <w:p w:rsidR="00DB1173" w:rsidRPr="00DB1173" w:rsidRDefault="00DB1173" w:rsidP="00DB1173">
            <w:pPr>
              <w:autoSpaceDE w:val="0"/>
              <w:autoSpaceDN w:val="0"/>
              <w:adjustRightInd w:val="0"/>
              <w:spacing w:before="46" w:line="186" w:lineRule="auto"/>
              <w:ind w:left="57" w:right="128"/>
              <w:rPr>
                <w:lang w:eastAsia="zh-CN"/>
              </w:rPr>
            </w:pPr>
            <w:r>
              <w:rPr>
                <w:rFonts w:ascii="Meiryo" w:eastAsia="Meiryo" w:cs="Meiryo"/>
                <w:color w:val="231F20"/>
                <w:sz w:val="18"/>
                <w:szCs w:val="18"/>
              </w:rPr>
              <w:t>Consulte la secci</w:t>
            </w:r>
            <w:r>
              <w:rPr>
                <w:rFonts w:ascii="Meiryo" w:eastAsia="Meiryo" w:cs="Meiryo"/>
                <w:color w:val="231F20"/>
                <w:sz w:val="18"/>
                <w:szCs w:val="18"/>
              </w:rPr>
              <w:t>ó</w:t>
            </w:r>
            <w:r>
              <w:rPr>
                <w:rFonts w:ascii="Meiryo" w:eastAsia="Meiryo" w:cs="Meiryo"/>
                <w:color w:val="231F20"/>
                <w:sz w:val="18"/>
                <w:szCs w:val="18"/>
              </w:rPr>
              <w:t>n "Consumo de energ</w:t>
            </w:r>
            <w:r>
              <w:rPr>
                <w:rFonts w:ascii="Meiryo" w:eastAsia="Meiryo" w:cs="Meiryo"/>
                <w:color w:val="231F20"/>
                <w:sz w:val="18"/>
                <w:szCs w:val="18"/>
              </w:rPr>
              <w:t>í</w:t>
            </w:r>
            <w:r>
              <w:rPr>
                <w:rFonts w:ascii="Meiryo" w:eastAsia="Meiryo" w:cs="Meiryo"/>
                <w:color w:val="231F20"/>
                <w:sz w:val="18"/>
                <w:szCs w:val="18"/>
              </w:rPr>
              <w:t>a" del manual de funcionamiento.</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Corriente de entrada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2</w:t>
            </w:r>
            <w:r>
              <w:rPr>
                <w:rFonts w:ascii="Meiryo" w:eastAsia="Meiryo" w:cs="Meiryo"/>
                <w:color w:val="231F20"/>
                <w:sz w:val="18"/>
                <w:szCs w:val="18"/>
              </w:rPr>
              <w:t> </w:t>
            </w:r>
            <w:r>
              <w:rPr>
                <w:rFonts w:ascii="Meiryo" w:eastAsia="Meiryo" w:cs="Meiryo"/>
                <w:color w:val="231F20"/>
                <w:sz w:val="18"/>
                <w:szCs w:val="18"/>
              </w:rPr>
              <w:t>A</w:t>
            </w:r>
          </w:p>
        </w:tc>
      </w:tr>
      <w:tr w:rsidR="00DB1173" w:rsidRPr="00DB1173" w:rsidTr="00352D73">
        <w:trPr>
          <w:trHeight w:hRule="exact" w:val="76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Corriente de entrada, despu</w:t>
            </w:r>
            <w:r>
              <w:rPr>
                <w:rFonts w:ascii="Meiryo" w:eastAsia="Meiryo" w:cs="Meiryo"/>
                <w:color w:val="231F20"/>
                <w:sz w:val="18"/>
                <w:szCs w:val="18"/>
              </w:rPr>
              <w:t>é</w:t>
            </w:r>
            <w:r>
              <w:rPr>
                <w:rFonts w:ascii="Meiryo" w:eastAsia="Meiryo" w:cs="Meiryo"/>
                <w:color w:val="231F20"/>
                <w:sz w:val="18"/>
                <w:szCs w:val="18"/>
              </w:rPr>
              <w:t>s de encender y apagar cinco segundos</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1,3</w:t>
            </w:r>
            <w:r>
              <w:rPr>
                <w:rFonts w:ascii="Meiryo" w:eastAsia="Meiryo" w:cs="Meiryo"/>
                <w:color w:val="231F20"/>
                <w:sz w:val="18"/>
                <w:szCs w:val="18"/>
              </w:rPr>
              <w:t> </w:t>
            </w:r>
            <w:r>
              <w:rPr>
                <w:rFonts w:ascii="Meiryo" w:eastAsia="Meiryo" w:cs="Meiryo"/>
                <w:color w:val="231F20"/>
                <w:sz w:val="18"/>
                <w:szCs w:val="18"/>
              </w:rPr>
              <w:t>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Fusible de alimentaci</w:t>
            </w:r>
            <w:r>
              <w:rPr>
                <w:rFonts w:ascii="Meiryo" w:eastAsia="Meiryo" w:cs="Meiryo"/>
                <w:color w:val="231F20"/>
                <w:sz w:val="18"/>
                <w:szCs w:val="18"/>
              </w:rPr>
              <w:t>ó</w:t>
            </w:r>
            <w:r>
              <w:rPr>
                <w:rFonts w:ascii="Meiryo" w:eastAsia="Meiryo" w:cs="Meiryo"/>
                <w:color w:val="231F20"/>
                <w:sz w:val="18"/>
                <w:szCs w:val="18"/>
              </w:rPr>
              <w:t>n</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T6,3A (internamente)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lastRenderedPageBreak/>
              <w:t>Fusible de CC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30 A (internamente)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Fallo de conexi</w:t>
            </w:r>
            <w:r>
              <w:rPr>
                <w:rFonts w:ascii="Meiryo" w:eastAsia="Meiryo" w:cs="Meiryo"/>
                <w:color w:val="231F20"/>
                <w:sz w:val="18"/>
                <w:szCs w:val="18"/>
              </w:rPr>
              <w:t>ó</w:t>
            </w:r>
            <w:r>
              <w:rPr>
                <w:rFonts w:ascii="Meiryo" w:eastAsia="Meiryo" w:cs="Meiryo"/>
                <w:color w:val="231F20"/>
                <w:sz w:val="18"/>
                <w:szCs w:val="18"/>
              </w:rPr>
              <w:t>n a tierra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R &lt; 50</w:t>
            </w:r>
            <w:r>
              <w:rPr>
                <w:rFonts w:ascii="Meiryo" w:eastAsia="Meiryo" w:cs="Meiryo"/>
                <w:color w:val="231F20"/>
                <w:sz w:val="18"/>
                <w:szCs w:val="18"/>
              </w:rPr>
              <w:t> </w:t>
            </w:r>
            <w:r>
              <w:rPr>
                <w:rFonts w:ascii="Meiryo" w:eastAsia="Meiryo" w:cs="Meiryo"/>
                <w:color w:val="231F20"/>
                <w:sz w:val="18"/>
                <w:szCs w:val="18"/>
              </w:rPr>
              <w:t>k</w:t>
            </w:r>
            <w:r>
              <w:rPr>
                <w:rFonts w:ascii="Meiryo" w:eastAsia="Meiryo" w:cs="Meiryo"/>
                <w:color w:val="231F20"/>
                <w:sz w:val="18"/>
                <w:szCs w:val="18"/>
              </w:rPr>
              <w:t>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Puerto CAN BUS</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rFonts w:ascii="Meiryo" w:eastAsia="Meiryo" w:cs="Meiryo"/>
                <w:color w:val="231F20"/>
                <w:sz w:val="18"/>
                <w:szCs w:val="18"/>
              </w:rPr>
              <w:t>2 RJ-45, 10 a 500 kbit/s</w:t>
            </w:r>
          </w:p>
        </w:tc>
      </w:tr>
    </w:tbl>
    <w:p w:rsidR="00DB1173" w:rsidRPr="006B1319" w:rsidRDefault="00DB1173" w:rsidP="006B1319"/>
    <w:tbl>
      <w:tblPr>
        <w:tblW w:w="8198"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5"/>
        <w:gridCol w:w="3963"/>
      </w:tblGrid>
      <w:tr w:rsidR="00DB1173" w:rsidRPr="00DB1173" w:rsidTr="00352D73">
        <w:trPr>
          <w:trHeight w:hRule="exact" w:val="1855"/>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Protección</w:t>
            </w:r>
          </w:p>
        </w:tc>
        <w:tc>
          <w:tcPr>
            <w:tcW w:w="3963" w:type="dxa"/>
          </w:tcPr>
          <w:p w:rsidR="00DB1173" w:rsidRPr="00DB1173" w:rsidRDefault="00DB1173" w:rsidP="00DB1173">
            <w:pPr>
              <w:autoSpaceDE w:val="0"/>
              <w:autoSpaceDN w:val="0"/>
              <w:adjustRightInd w:val="0"/>
              <w:spacing w:before="87" w:line="315" w:lineRule="auto"/>
              <w:ind w:left="57" w:right="53"/>
              <w:rPr>
                <w:lang w:eastAsia="zh-CN"/>
              </w:rPr>
            </w:pPr>
            <w:r>
              <w:rPr>
                <w:rFonts w:ascii="Bosch Office Sans" w:hAnsi="Bosch Office Sans" w:cs="Bosch Office Sans"/>
                <w:color w:val="231F20"/>
                <w:sz w:val="18"/>
                <w:szCs w:val="18"/>
              </w:rPr>
              <w:t>Limitador de nivel de entrada de audio, limitador de salida de potencia RMS, alta temperatura, CC, cortocircuito, protección contra baja tensión de red, protección contra baja tensión de alimentación de CC, limitador de corriente de entrada, fallo de conexión a tierra</w:t>
            </w:r>
          </w:p>
        </w:tc>
      </w:tr>
      <w:tr w:rsidR="00DB1173" w:rsidRPr="00DB1173" w:rsidTr="00352D73">
        <w:trPr>
          <w:trHeight w:hRule="exact" w:val="541"/>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Refrigeración</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De la parte frontal a la posterior, ventiladores controlados por temperatura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Temperatura de funcionamiento</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De -5 °C a +45 °C</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Clase de seguridad</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Clase I</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Entorno electromagnético</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E1, E2, E3</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05" w:lineRule="exact"/>
              <w:ind w:left="57" w:right="-20"/>
              <w:rPr>
                <w:lang w:eastAsia="zh-CN"/>
              </w:rPr>
            </w:pPr>
            <w:r>
              <w:rPr>
                <w:rFonts w:ascii="Bosch Office Sans" w:hAnsi="Bosch Office Sans" w:cs="Bosch Office Sans"/>
                <w:color w:val="231F20"/>
                <w:sz w:val="18"/>
                <w:szCs w:val="18"/>
              </w:rPr>
              <w:t xml:space="preserve">Dimensiones del producto (ancho </w:t>
            </w:r>
            <w:r>
              <w:rPr>
                <w:rFonts w:ascii="Arial Unicode MS" w:eastAsia="Arial Unicode MS" w:hAnsi="Bosch Office Sans" w:cs="Arial Unicode MS"/>
                <w:color w:val="231F20"/>
                <w:sz w:val="18"/>
                <w:szCs w:val="18"/>
              </w:rPr>
              <w:t>✕</w:t>
            </w:r>
            <w:r>
              <w:rPr>
                <w:rFonts w:ascii="Arial Unicode MS" w:eastAsia="Arial Unicode MS" w:hAnsi="Bosch Office Sans" w:cs="Arial Unicode MS"/>
                <w:color w:val="231F20"/>
                <w:sz w:val="18"/>
                <w:szCs w:val="18"/>
              </w:rPr>
              <w:t xml:space="preserve"> </w:t>
            </w:r>
            <w:r>
              <w:rPr>
                <w:rFonts w:ascii="Bosch Office Sans" w:eastAsia="Arial Unicode MS" w:hAnsi="Bosch Office Sans" w:cs="Bosch Office Sans"/>
                <w:color w:val="231F20"/>
                <w:sz w:val="18"/>
                <w:szCs w:val="18"/>
              </w:rPr>
              <w:t xml:space="preserve">alto </w:t>
            </w:r>
            <w:r>
              <w:rPr>
                <w:rFonts w:ascii="Arial Unicode MS" w:eastAsia="Arial Unicode MS" w:hAnsi="Bosch Office Sans" w:cs="Arial Unicode MS"/>
                <w:color w:val="231F20"/>
                <w:sz w:val="18"/>
                <w:szCs w:val="18"/>
              </w:rPr>
              <w:t>✕</w:t>
            </w:r>
            <w:r>
              <w:rPr>
                <w:rFonts w:ascii="Arial Unicode MS" w:eastAsia="Arial Unicode MS" w:hAnsi="Bosch Office Sans" w:cs="Arial Unicode MS"/>
                <w:color w:val="231F20"/>
                <w:sz w:val="18"/>
                <w:szCs w:val="18"/>
              </w:rPr>
              <w:t xml:space="preserve"> </w:t>
            </w:r>
            <w:r>
              <w:rPr>
                <w:rFonts w:ascii="Bosch Office Sans" w:eastAsia="Arial Unicode MS" w:hAnsi="Bosch Office Sans" w:cs="Bosch Office Sans"/>
                <w:color w:val="231F20"/>
                <w:sz w:val="18"/>
                <w:szCs w:val="18"/>
              </w:rPr>
              <w:t>fondo)</w:t>
            </w:r>
          </w:p>
        </w:tc>
        <w:tc>
          <w:tcPr>
            <w:tcW w:w="3963" w:type="dxa"/>
          </w:tcPr>
          <w:p w:rsidR="00DB1173" w:rsidRPr="00DB1173" w:rsidRDefault="00DB1173" w:rsidP="00DB1173">
            <w:pPr>
              <w:autoSpaceDE w:val="0"/>
              <w:autoSpaceDN w:val="0"/>
              <w:adjustRightInd w:val="0"/>
              <w:spacing w:line="305" w:lineRule="exact"/>
              <w:ind w:left="57" w:right="-20"/>
              <w:rPr>
                <w:lang w:eastAsia="zh-CN"/>
              </w:rPr>
            </w:pPr>
            <w:r>
              <w:rPr>
                <w:rFonts w:ascii="Bosch Office Sans" w:hAnsi="Bosch Office Sans" w:cs="Bosch Office Sans"/>
                <w:color w:val="231F20"/>
                <w:sz w:val="18"/>
                <w:szCs w:val="18"/>
              </w:rPr>
              <w:t xml:space="preserve">19 pulgadas, 2 U, 483 </w:t>
            </w:r>
            <w:r>
              <w:rPr>
                <w:rFonts w:ascii="Arial Unicode MS" w:eastAsia="Arial Unicode MS" w:hAnsi="Bosch Office Sans" w:cs="Arial Unicode MS"/>
                <w:color w:val="231F20"/>
                <w:sz w:val="18"/>
                <w:szCs w:val="18"/>
              </w:rPr>
              <w:t>✕</w:t>
            </w:r>
            <w:r>
              <w:rPr>
                <w:rFonts w:ascii="Arial Unicode MS" w:eastAsia="Arial Unicode MS" w:hAnsi="Bosch Office Sans" w:cs="Arial Unicode MS"/>
                <w:color w:val="231F20"/>
                <w:sz w:val="18"/>
                <w:szCs w:val="18"/>
              </w:rPr>
              <w:t xml:space="preserve"> </w:t>
            </w:r>
            <w:r>
              <w:rPr>
                <w:rFonts w:ascii="Bosch Office Sans" w:eastAsia="Arial Unicode MS" w:hAnsi="Bosch Office Sans" w:cs="Bosch Office Sans"/>
                <w:color w:val="231F20"/>
                <w:sz w:val="18"/>
                <w:szCs w:val="18"/>
              </w:rPr>
              <w:t xml:space="preserve">88,2 </w:t>
            </w:r>
            <w:r>
              <w:rPr>
                <w:rFonts w:ascii="Arial Unicode MS" w:eastAsia="Arial Unicode MS" w:hAnsi="Bosch Office Sans" w:cs="Arial Unicode MS"/>
                <w:color w:val="231F20"/>
                <w:sz w:val="18"/>
                <w:szCs w:val="18"/>
              </w:rPr>
              <w:t>✕</w:t>
            </w:r>
            <w:r>
              <w:rPr>
                <w:rFonts w:ascii="Arial Unicode MS" w:eastAsia="Arial Unicode MS" w:hAnsi="Bosch Office Sans" w:cs="Arial Unicode MS"/>
                <w:color w:val="231F20"/>
                <w:sz w:val="18"/>
                <w:szCs w:val="18"/>
              </w:rPr>
              <w:t xml:space="preserve"> </w:t>
            </w:r>
            <w:r>
              <w:rPr>
                <w:rFonts w:ascii="Bosch Office Sans" w:eastAsia="Arial Unicode MS" w:hAnsi="Bosch Office Sans" w:cs="Bosch Office Sans"/>
                <w:color w:val="231F20"/>
                <w:sz w:val="18"/>
                <w:szCs w:val="18"/>
              </w:rPr>
              <w:t>375 mm</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Peso neto</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16,5 kg</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Peso con embalaje</w:t>
            </w:r>
          </w:p>
        </w:tc>
        <w:tc>
          <w:tcPr>
            <w:tcW w:w="3963" w:type="dxa"/>
          </w:tcPr>
          <w:p w:rsidR="00DB1173" w:rsidRPr="00DB1173" w:rsidRDefault="00DB1173" w:rsidP="00DB1173">
            <w:pPr>
              <w:autoSpaceDE w:val="0"/>
              <w:autoSpaceDN w:val="0"/>
              <w:adjustRightInd w:val="0"/>
              <w:spacing w:before="87"/>
              <w:ind w:left="57" w:right="-20"/>
              <w:rPr>
                <w:lang w:eastAsia="zh-CN"/>
              </w:rPr>
            </w:pPr>
            <w:r>
              <w:rPr>
                <w:rFonts w:ascii="Bosch Office Sans" w:hAnsi="Bosch Office Sans" w:cs="Bosch Office Sans"/>
                <w:color w:val="231F20"/>
                <w:sz w:val="18"/>
                <w:szCs w:val="18"/>
              </w:rPr>
              <w:t>19 kg</w:t>
            </w:r>
          </w:p>
        </w:tc>
      </w:tr>
    </w:tbl>
    <w:p w:rsidR="00DB1173" w:rsidRPr="00DB1173" w:rsidRDefault="00DB1173" w:rsidP="00DB1173">
      <w:pPr>
        <w:autoSpaceDE w:val="0"/>
        <w:autoSpaceDN w:val="0"/>
        <w:adjustRightInd w:val="0"/>
        <w:spacing w:before="55"/>
        <w:ind w:left="920" w:right="-20"/>
        <w:rPr>
          <w:rFonts w:ascii="Bosch Office Sans" w:hAnsi="Bosch Office Sans" w:cs="Bosch Office Sans"/>
          <w:color w:val="000000"/>
          <w:sz w:val="18"/>
          <w:szCs w:val="18"/>
          <w:lang w:eastAsia="zh-CN"/>
        </w:rPr>
      </w:pPr>
      <w:r>
        <w:rPr>
          <w:rFonts w:ascii="Bosch Office Sans" w:hAnsi="Bosch Office Sans" w:cs="Bosch Office Sans"/>
          <w:color w:val="231F20"/>
          <w:sz w:val="10"/>
          <w:szCs w:val="10"/>
        </w:rPr>
        <w:t xml:space="preserve">1  </w:t>
      </w:r>
      <w:r>
        <w:rPr>
          <w:rFonts w:ascii="Bosch Office Sans" w:hAnsi="Bosch Office Sans" w:cs="Bosch Office Sans"/>
          <w:color w:val="231F20"/>
          <w:sz w:val="18"/>
          <w:szCs w:val="18"/>
        </w:rPr>
        <w:t>En el modo CC y en el funcionamiento de señal de alarma continua, señal de salida limitada en un máximo de 3 dB.</w:t>
      </w:r>
    </w:p>
    <w:p w:rsidR="00DB1173" w:rsidRPr="00DB1173" w:rsidRDefault="00DB1173" w:rsidP="00DB1173">
      <w:pPr>
        <w:autoSpaceDE w:val="0"/>
        <w:autoSpaceDN w:val="0"/>
        <w:adjustRightInd w:val="0"/>
        <w:spacing w:before="65"/>
        <w:ind w:left="200" w:right="-20" w:firstLine="720"/>
        <w:rPr>
          <w:rFonts w:ascii="Bosch Office Sans" w:hAnsi="Bosch Office Sans" w:cs="Bosch Office Sans"/>
          <w:color w:val="000000"/>
          <w:sz w:val="18"/>
          <w:szCs w:val="18"/>
          <w:lang w:eastAsia="zh-CN"/>
        </w:rPr>
      </w:pPr>
      <w:r>
        <w:rPr>
          <w:rFonts w:ascii="Bosch Office Sans" w:hAnsi="Bosch Office Sans" w:cs="Bosch Office Sans"/>
          <w:color w:val="231F20"/>
          <w:sz w:val="10"/>
          <w:szCs w:val="10"/>
        </w:rPr>
        <w:t xml:space="preserve">2  </w:t>
      </w:r>
      <w:r>
        <w:rPr>
          <w:rFonts w:ascii="Bosch Office Sans" w:hAnsi="Bosch Office Sans" w:cs="Bosch Office Sans"/>
          <w:color w:val="231F20"/>
          <w:sz w:val="18"/>
          <w:szCs w:val="18"/>
        </w:rPr>
        <w:t>Potencia de salida reducida a tensiones de alimentación por debajo de 115 V</w:t>
      </w:r>
    </w:p>
    <w:p w:rsidR="006B1319" w:rsidRDefault="006B1319" w:rsidP="006B1319"/>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DB1173" w:rsidRPr="00832268" w:rsidRDefault="00CD5DAE" w:rsidP="00DB1173">
      <w:pPr>
        <w:autoSpaceDE w:val="0"/>
        <w:autoSpaceDN w:val="0"/>
        <w:adjustRightInd w:val="0"/>
        <w:spacing w:line="220" w:lineRule="exact"/>
        <w:ind w:left="40" w:right="-20"/>
        <w:rPr>
          <w:rFonts w:ascii="Meiryo" w:eastAsia="Meiryo" w:cs="Meiryo"/>
          <w:b/>
          <w:color w:val="000000"/>
          <w:sz w:val="18"/>
          <w:szCs w:val="18"/>
          <w:lang w:val="nl-NL" w:eastAsia="zh-CN"/>
        </w:rPr>
      </w:pPr>
      <w:r>
        <w:rPr>
          <w:rFonts w:ascii="Meiryo" w:eastAsia="Meiryo" w:cs="Meiryo"/>
          <w:b/>
          <w:color w:val="231F20"/>
          <w:sz w:val="18"/>
          <w:szCs w:val="18"/>
        </w:rPr>
        <w:t>Normas</w:t>
      </w:r>
    </w:p>
    <w:p w:rsidR="00DB1173" w:rsidRPr="00832268" w:rsidRDefault="00DB1173" w:rsidP="00DB1173">
      <w:pPr>
        <w:autoSpaceDE w:val="0"/>
        <w:autoSpaceDN w:val="0"/>
        <w:adjustRightInd w:val="0"/>
        <w:spacing w:before="8" w:line="100" w:lineRule="exact"/>
        <w:rPr>
          <w:sz w:val="10"/>
          <w:szCs w:val="10"/>
          <w:lang w:val="nl-NL" w:eastAsia="zh-CN"/>
        </w:rPr>
      </w:pPr>
    </w:p>
    <w:p w:rsidR="00DB1173" w:rsidRPr="00DB1173" w:rsidRDefault="00DB1173" w:rsidP="00DB1173">
      <w:pPr>
        <w:autoSpaceDE w:val="0"/>
        <w:autoSpaceDN w:val="0"/>
        <w:adjustRightInd w:val="0"/>
        <w:ind w:left="720" w:right="-20"/>
        <w:rPr>
          <w:rFonts w:ascii="Bosch Office Sans" w:hAnsi="Bosch Office Sans" w:cs="Bosch Office Sans"/>
          <w:color w:val="000000"/>
          <w:sz w:val="18"/>
          <w:szCs w:val="18"/>
          <w:lang w:val="nl-NL" w:eastAsia="zh-CN"/>
        </w:rPr>
      </w:pPr>
      <w:r>
        <w:rPr>
          <w:rFonts w:ascii="Bosch Office Sans" w:hAnsi="Bosch Office Sans" w:cs="Bosch Office Sans"/>
          <w:color w:val="231F20"/>
          <w:sz w:val="18"/>
          <w:szCs w:val="18"/>
        </w:rPr>
        <w:t>•      EN 50130-4</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rFonts w:ascii="Bosch Office Sans" w:hAnsi="Bosch Office Sans" w:cs="Bosch Office Sans"/>
          <w:color w:val="231F20"/>
          <w:sz w:val="18"/>
          <w:szCs w:val="18"/>
        </w:rPr>
        <w:t>•      EN 50581</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rFonts w:ascii="Bosch Office Sans" w:hAnsi="Bosch Office Sans" w:cs="Bosch Office Sans"/>
          <w:color w:val="231F20"/>
          <w:sz w:val="18"/>
          <w:szCs w:val="18"/>
        </w:rPr>
        <w:t>•      EN 55103-1/2</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rFonts w:ascii="Bosch Office Sans" w:hAnsi="Bosch Office Sans" w:cs="Bosch Office Sans"/>
          <w:color w:val="231F20"/>
          <w:sz w:val="18"/>
          <w:szCs w:val="18"/>
        </w:rPr>
        <w:t>•      EN 61000-3-2/3</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rFonts w:ascii="Bosch Office Sans" w:hAnsi="Bosch Office Sans" w:cs="Bosch Office Sans"/>
          <w:color w:val="231F20"/>
          <w:sz w:val="18"/>
          <w:szCs w:val="18"/>
        </w:rPr>
        <w:t>•      EN 61000-6-3</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IEC 60065</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EN 60945</w:t>
      </w:r>
    </w:p>
    <w:p w:rsidR="00DB1173" w:rsidRDefault="00DB1173" w:rsidP="006B1319"/>
    <w:p w:rsidR="00B82FC0" w:rsidRPr="00DB1173" w:rsidRDefault="00B82FC0" w:rsidP="00B82FC0">
      <w:pPr>
        <w:autoSpaceDE w:val="0"/>
        <w:autoSpaceDN w:val="0"/>
        <w:adjustRightInd w:val="0"/>
        <w:spacing w:line="220" w:lineRule="exact"/>
        <w:ind w:left="40" w:right="-20"/>
        <w:rPr>
          <w:rFonts w:ascii="Meiryo" w:eastAsia="Meiryo" w:cs="Meiryo"/>
          <w:b/>
          <w:color w:val="000000"/>
          <w:sz w:val="18"/>
          <w:szCs w:val="18"/>
          <w:lang w:eastAsia="zh-CN"/>
        </w:rPr>
      </w:pPr>
      <w:r>
        <w:rPr>
          <w:rFonts w:ascii="Bosch Office Sans" w:hAnsi="Bosch Office Sans" w:cs="Bosch Office Sans"/>
          <w:color w:val="231F20"/>
          <w:sz w:val="26"/>
          <w:szCs w:val="26"/>
        </w:rPr>
        <w:br w:type="page"/>
      </w:r>
      <w:r>
        <w:rPr>
          <w:rFonts w:ascii="Meiryo" w:eastAsia="Meiryo" w:cs="Meiryo"/>
          <w:b/>
          <w:color w:val="231F20"/>
          <w:sz w:val="18"/>
          <w:szCs w:val="18"/>
        </w:rPr>
        <w:lastRenderedPageBreak/>
        <w:t>Consumo de energ</w:t>
      </w:r>
      <w:r>
        <w:rPr>
          <w:rFonts w:ascii="Meiryo" w:eastAsia="Meiryo" w:cs="Meiryo"/>
          <w:b/>
          <w:color w:val="231F20"/>
          <w:sz w:val="18"/>
          <w:szCs w:val="18"/>
        </w:rPr>
        <w:t>í</w:t>
      </w:r>
      <w:r>
        <w:rPr>
          <w:rFonts w:ascii="Meiryo" w:eastAsia="Meiryo" w:cs="Meiryo"/>
          <w:b/>
          <w:color w:val="231F20"/>
          <w:sz w:val="18"/>
          <w:szCs w:val="18"/>
        </w:rPr>
        <w:t>a</w:t>
      </w:r>
    </w:p>
    <w:p w:rsidR="00B82FC0" w:rsidRPr="00B82FC0" w:rsidRDefault="00B82FC0" w:rsidP="00B82FC0">
      <w:pPr>
        <w:autoSpaceDE w:val="0"/>
        <w:autoSpaceDN w:val="0"/>
        <w:adjustRightInd w:val="0"/>
        <w:spacing w:line="259" w:lineRule="exact"/>
        <w:ind w:left="40" w:right="-20"/>
        <w:rPr>
          <w:rFonts w:ascii="Bosch Office Sans" w:hAnsi="Bosch Office Sans" w:cs="Bosch Office Sans"/>
          <w:color w:val="000000"/>
          <w:sz w:val="26"/>
          <w:szCs w:val="26"/>
          <w:lang w:eastAsia="zh-CN"/>
        </w:rPr>
      </w:pPr>
    </w:p>
    <w:p w:rsidR="00B82FC0" w:rsidRPr="00B82FC0" w:rsidRDefault="00B82FC0" w:rsidP="00B82FC0">
      <w:pPr>
        <w:autoSpaceDE w:val="0"/>
        <w:autoSpaceDN w:val="0"/>
        <w:adjustRightInd w:val="0"/>
        <w:spacing w:before="47"/>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Funcionamiento a 230 V/50 Hz</w:t>
      </w:r>
    </w:p>
    <w:p w:rsidR="00B82FC0" w:rsidRPr="00B82FC0" w:rsidRDefault="00B82FC0" w:rsidP="00B82FC0">
      <w:pPr>
        <w:autoSpaceDE w:val="0"/>
        <w:autoSpaceDN w:val="0"/>
        <w:adjustRightInd w:val="0"/>
        <w:spacing w:before="4"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I</w:t>
            </w:r>
            <w:r>
              <w:rPr>
                <w:rFonts w:ascii="Bosch Office Sans" w:hAnsi="Bosch Office Sans" w:cs="Bosch Office Sans"/>
                <w:color w:val="231F20"/>
                <w:sz w:val="10"/>
                <w:szCs w:val="10"/>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S</w:t>
            </w:r>
            <w:r>
              <w:rPr>
                <w:rFonts w:ascii="Bosch Office Sans" w:hAnsi="Bosch Office Sans" w:cs="Bosch Office Sans"/>
                <w:color w:val="231F20"/>
                <w:sz w:val="10"/>
                <w:szCs w:val="10"/>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0"/>
                <w:szCs w:val="10"/>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0"/>
                <w:szCs w:val="10"/>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En espera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0,14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33,0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1,9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Reposo (sin audio)</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0,20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47,0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19,5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66.5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Aviso (-10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0,88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202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Alerta (-3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3,35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772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745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835.5</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Funcionamiento a 120 V/60 Hz</w:t>
      </w:r>
    </w:p>
    <w:p w:rsidR="00B82FC0" w:rsidRPr="00B82FC0" w:rsidRDefault="00B82FC0" w:rsidP="00B82FC0">
      <w:pPr>
        <w:autoSpaceDE w:val="0"/>
        <w:autoSpaceDN w:val="0"/>
        <w:adjustRightInd w:val="0"/>
        <w:spacing w:line="200" w:lineRule="exact"/>
        <w:rPr>
          <w:rFonts w:ascii="Bosch Office Sans" w:hAnsi="Bosch Office Sans" w:cs="Bosch Office Sans"/>
          <w:color w:val="000000"/>
          <w:sz w:val="20"/>
          <w:szCs w:val="20"/>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I</w:t>
            </w:r>
            <w:r>
              <w:rPr>
                <w:rFonts w:ascii="Bosch Office Sans" w:hAnsi="Bosch Office Sans" w:cs="Bosch Office Sans"/>
                <w:color w:val="231F20"/>
                <w:sz w:val="11"/>
                <w:szCs w:val="11"/>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S</w:t>
            </w:r>
            <w:r>
              <w:rPr>
                <w:rFonts w:ascii="Bosch Office Sans" w:hAnsi="Bosch Office Sans" w:cs="Bosch Office Sans"/>
                <w:color w:val="231F20"/>
                <w:sz w:val="11"/>
                <w:szCs w:val="11"/>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1"/>
                <w:szCs w:val="11"/>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1"/>
                <w:szCs w:val="11"/>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En espera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0,09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9,0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1,3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4.4</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Reposo (sin audio)</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0,27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29,0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17,3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59.0</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Aviso (-10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1,6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189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Alerta (-3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6,9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824 VA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800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1023</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Funcionamiento a 24 VCC</w:t>
      </w:r>
    </w:p>
    <w:p w:rsidR="00B82FC0" w:rsidRPr="00B82FC0" w:rsidRDefault="00B82FC0" w:rsidP="00B82FC0">
      <w:pPr>
        <w:autoSpaceDE w:val="0"/>
        <w:autoSpaceDN w:val="0"/>
        <w:adjustRightInd w:val="0"/>
        <w:spacing w:before="6"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I</w:t>
            </w:r>
            <w:r>
              <w:rPr>
                <w:rFonts w:ascii="Bosch Office Sans" w:hAnsi="Bosch Office Sans" w:cs="Bosch Office Sans"/>
                <w:color w:val="231F20"/>
                <w:sz w:val="10"/>
                <w:szCs w:val="10"/>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S</w:t>
            </w:r>
            <w:r>
              <w:rPr>
                <w:rFonts w:ascii="Bosch Office Sans" w:hAnsi="Bosch Office Sans" w:cs="Bosch Office Sans"/>
                <w:color w:val="231F20"/>
                <w:sz w:val="10"/>
                <w:szCs w:val="10"/>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0"/>
                <w:szCs w:val="10"/>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rFonts w:ascii="Bosch Office Sans" w:hAnsi="Bosch Office Sans" w:cs="Bosch Office Sans"/>
                <w:color w:val="231F20"/>
                <w:sz w:val="18"/>
                <w:szCs w:val="18"/>
              </w:rPr>
              <w:t>P</w:t>
            </w:r>
            <w:r>
              <w:rPr>
                <w:rFonts w:ascii="Bosch Office Sans" w:hAnsi="Bosch Office Sans" w:cs="Bosch Office Sans"/>
                <w:color w:val="231F20"/>
                <w:sz w:val="10"/>
                <w:szCs w:val="10"/>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En espera</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0,06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1,4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4.8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Reposo (sin audio)</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0,65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15,6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53</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Aviso (-10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7,0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168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232</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Alerta (-3 dB)</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32,5 A</w:t>
            </w:r>
          </w:p>
        </w:tc>
        <w:tc>
          <w:tcPr>
            <w:tcW w:w="1225"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780 W</w:t>
            </w:r>
          </w:p>
        </w:tc>
        <w:tc>
          <w:tcPr>
            <w:tcW w:w="1043"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rFonts w:ascii="Bosch Office Sans" w:hAnsi="Bosch Office Sans" w:cs="Bosch Office Sans"/>
                <w:color w:val="231F20"/>
                <w:sz w:val="18"/>
                <w:szCs w:val="18"/>
              </w:rPr>
              <w:t>938</w:t>
            </w:r>
          </w:p>
        </w:tc>
      </w:tr>
    </w:tbl>
    <w:p w:rsidR="00B82FC0" w:rsidRPr="00B82FC0" w:rsidRDefault="00B82FC0" w:rsidP="00B82FC0">
      <w:pPr>
        <w:autoSpaceDE w:val="0"/>
        <w:autoSpaceDN w:val="0"/>
        <w:adjustRightInd w:val="0"/>
        <w:spacing w:before="9" w:line="280" w:lineRule="exact"/>
        <w:rPr>
          <w:sz w:val="28"/>
          <w:szCs w:val="28"/>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Descripción de las columnas de la tabla:</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I</w:t>
      </w:r>
      <w:r>
        <w:rPr>
          <w:rFonts w:ascii="Bosch Office Sans" w:hAnsi="Bosch Office Sans" w:cs="Bosch Office Sans"/>
          <w:color w:val="231F20"/>
          <w:sz w:val="11"/>
          <w:szCs w:val="11"/>
        </w:rPr>
        <w:t xml:space="preserve">supply  </w:t>
      </w:r>
      <w:r>
        <w:rPr>
          <w:rFonts w:ascii="Bosch Office Sans" w:hAnsi="Bosch Office Sans" w:cs="Bosch Office Sans"/>
          <w:color w:val="231F20"/>
          <w:sz w:val="18"/>
          <w:szCs w:val="18"/>
        </w:rPr>
        <w:t>= consumo de corriente RMS de la red eléctrica (o alimentación de CC)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S</w:t>
      </w:r>
      <w:r>
        <w:rPr>
          <w:rFonts w:ascii="Bosch Office Sans" w:hAnsi="Bosch Office Sans" w:cs="Bosch Office Sans"/>
          <w:color w:val="231F20"/>
          <w:sz w:val="11"/>
          <w:szCs w:val="11"/>
        </w:rPr>
        <w:t xml:space="preserve">supply  </w:t>
      </w:r>
      <w:r>
        <w:rPr>
          <w:rFonts w:ascii="Bosch Office Sans" w:hAnsi="Bosch Office Sans" w:cs="Bosch Office Sans"/>
          <w:color w:val="231F20"/>
          <w:sz w:val="18"/>
          <w:szCs w:val="18"/>
        </w:rPr>
        <w:t>= consumo de energía aparente de la red eléctrica</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P</w:t>
      </w:r>
      <w:r>
        <w:rPr>
          <w:rFonts w:ascii="Bosch Office Sans" w:hAnsi="Bosch Office Sans" w:cs="Bosch Office Sans"/>
          <w:color w:val="231F20"/>
          <w:sz w:val="11"/>
          <w:szCs w:val="11"/>
        </w:rPr>
        <w:t xml:space="preserve">supply  </w:t>
      </w:r>
      <w:r>
        <w:rPr>
          <w:rFonts w:ascii="Bosch Office Sans" w:hAnsi="Bosch Office Sans" w:cs="Bosch Office Sans"/>
          <w:color w:val="231F20"/>
          <w:sz w:val="18"/>
          <w:szCs w:val="18"/>
        </w:rPr>
        <w:t>= suministro de energía reactiva de la red eléctrica (o alimentación de CC)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P</w:t>
      </w:r>
      <w:r>
        <w:rPr>
          <w:rFonts w:ascii="Bosch Office Sans" w:hAnsi="Bosch Office Sans" w:cs="Bosch Office Sans"/>
          <w:color w:val="231F20"/>
          <w:sz w:val="10"/>
          <w:szCs w:val="10"/>
        </w:rPr>
        <w:t xml:space="preserve">out   </w:t>
      </w:r>
      <w:r>
        <w:rPr>
          <w:rFonts w:ascii="Bosch Office Sans" w:hAnsi="Bosch Office Sans" w:cs="Bosch Office Sans"/>
          <w:color w:val="231F20"/>
          <w:sz w:val="18"/>
          <w:szCs w:val="18"/>
        </w:rPr>
        <w:t>= potencia de salida NF proporcionada a las líneas de altavoces</w:t>
      </w:r>
    </w:p>
    <w:p w:rsidR="00B82FC0" w:rsidRPr="00B82FC0" w:rsidRDefault="00B82FC0" w:rsidP="00B82FC0">
      <w:pPr>
        <w:autoSpaceDE w:val="0"/>
        <w:autoSpaceDN w:val="0"/>
        <w:adjustRightInd w:val="0"/>
        <w:spacing w:before="67"/>
        <w:ind w:left="200" w:right="-20"/>
        <w:rPr>
          <w:rFonts w:ascii="Bosch Office Sans" w:hAnsi="Bosch Office Sans" w:cs="Bosch Office Sans"/>
          <w:color w:val="000000"/>
          <w:sz w:val="18"/>
          <w:szCs w:val="18"/>
          <w:lang w:eastAsia="zh-CN"/>
        </w:rPr>
      </w:pPr>
      <w:r>
        <w:rPr>
          <w:rFonts w:ascii="Bosch Office Sans" w:hAnsi="Bosch Office Sans" w:cs="Bosch Office Sans"/>
          <w:color w:val="231F20"/>
          <w:sz w:val="18"/>
          <w:szCs w:val="18"/>
        </w:rPr>
        <w:t>•      P</w:t>
      </w:r>
      <w:r>
        <w:rPr>
          <w:rFonts w:ascii="Bosch Office Sans" w:hAnsi="Bosch Office Sans" w:cs="Bosch Office Sans"/>
          <w:color w:val="231F20"/>
          <w:sz w:val="10"/>
          <w:szCs w:val="10"/>
        </w:rPr>
        <w:t xml:space="preserve">loss  </w:t>
      </w:r>
      <w:r>
        <w:rPr>
          <w:rFonts w:ascii="Bosch Office Sans" w:hAnsi="Bosch Office Sans" w:cs="Bosch Office Sans"/>
          <w:color w:val="231F20"/>
          <w:sz w:val="18"/>
          <w:szCs w:val="18"/>
        </w:rPr>
        <w:t>o BTU/h = pérdida térmica</w:t>
      </w:r>
    </w:p>
    <w:p w:rsidR="00DB1173" w:rsidRPr="006B1319" w:rsidRDefault="00DB1173" w:rsidP="006B1319"/>
    <w:sectPr w:rsidR="00DB1173" w:rsidRPr="006B1319" w:rsidSect="003C1B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altName w:val="Arial"/>
    <w:charset w:val="00"/>
    <w:family w:val="swiss"/>
    <w:pitch w:val="variable"/>
    <w:sig w:usb0="00000001" w:usb1="1000205B" w:usb2="00000000" w:usb3="00000000" w:csb0="00000093" w:csb1="00000000"/>
  </w:font>
  <w:font w:name="Meiryo">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8D7"/>
    <w:multiLevelType w:val="hybridMultilevel"/>
    <w:tmpl w:val="D93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4469B5"/>
    <w:rsid w:val="00000764"/>
    <w:rsid w:val="0000121C"/>
    <w:rsid w:val="00001D3E"/>
    <w:rsid w:val="00006869"/>
    <w:rsid w:val="000079C9"/>
    <w:rsid w:val="00007BD4"/>
    <w:rsid w:val="00007EA8"/>
    <w:rsid w:val="000158FD"/>
    <w:rsid w:val="00022A96"/>
    <w:rsid w:val="000256EF"/>
    <w:rsid w:val="000320E3"/>
    <w:rsid w:val="00032162"/>
    <w:rsid w:val="000325A5"/>
    <w:rsid w:val="000458D4"/>
    <w:rsid w:val="00050780"/>
    <w:rsid w:val="000535E7"/>
    <w:rsid w:val="000555E5"/>
    <w:rsid w:val="00057CCC"/>
    <w:rsid w:val="00062355"/>
    <w:rsid w:val="00063616"/>
    <w:rsid w:val="00063D07"/>
    <w:rsid w:val="00065A18"/>
    <w:rsid w:val="00065E70"/>
    <w:rsid w:val="0006747A"/>
    <w:rsid w:val="00072710"/>
    <w:rsid w:val="00075489"/>
    <w:rsid w:val="00077C6A"/>
    <w:rsid w:val="0008368E"/>
    <w:rsid w:val="00084998"/>
    <w:rsid w:val="00085477"/>
    <w:rsid w:val="00090B55"/>
    <w:rsid w:val="00093806"/>
    <w:rsid w:val="00093D3D"/>
    <w:rsid w:val="000960A9"/>
    <w:rsid w:val="000A5D3D"/>
    <w:rsid w:val="000A696C"/>
    <w:rsid w:val="000B078C"/>
    <w:rsid w:val="000B28D2"/>
    <w:rsid w:val="000B35EC"/>
    <w:rsid w:val="000B35F7"/>
    <w:rsid w:val="000B6711"/>
    <w:rsid w:val="000C32F3"/>
    <w:rsid w:val="000C3920"/>
    <w:rsid w:val="000C73C3"/>
    <w:rsid w:val="000C7660"/>
    <w:rsid w:val="000D04D3"/>
    <w:rsid w:val="000D1B27"/>
    <w:rsid w:val="000D39EF"/>
    <w:rsid w:val="000D4E1F"/>
    <w:rsid w:val="000D5231"/>
    <w:rsid w:val="000D5752"/>
    <w:rsid w:val="000E5F5D"/>
    <w:rsid w:val="000F2DEE"/>
    <w:rsid w:val="000F462B"/>
    <w:rsid w:val="000F66D4"/>
    <w:rsid w:val="000F6EF0"/>
    <w:rsid w:val="00100CAB"/>
    <w:rsid w:val="001016F2"/>
    <w:rsid w:val="001019E4"/>
    <w:rsid w:val="00103F77"/>
    <w:rsid w:val="00104A75"/>
    <w:rsid w:val="001107A4"/>
    <w:rsid w:val="001120DA"/>
    <w:rsid w:val="0011752E"/>
    <w:rsid w:val="00122390"/>
    <w:rsid w:val="00122A54"/>
    <w:rsid w:val="00123342"/>
    <w:rsid w:val="001251C6"/>
    <w:rsid w:val="001271BB"/>
    <w:rsid w:val="00127B7F"/>
    <w:rsid w:val="00127E0E"/>
    <w:rsid w:val="00131854"/>
    <w:rsid w:val="00135573"/>
    <w:rsid w:val="0013569A"/>
    <w:rsid w:val="0013629D"/>
    <w:rsid w:val="00141BFE"/>
    <w:rsid w:val="00143A41"/>
    <w:rsid w:val="0014453D"/>
    <w:rsid w:val="00145D2C"/>
    <w:rsid w:val="00146CCA"/>
    <w:rsid w:val="00146FF4"/>
    <w:rsid w:val="00150955"/>
    <w:rsid w:val="00150A26"/>
    <w:rsid w:val="001524C2"/>
    <w:rsid w:val="00154852"/>
    <w:rsid w:val="001612F4"/>
    <w:rsid w:val="00162445"/>
    <w:rsid w:val="001673E7"/>
    <w:rsid w:val="00170007"/>
    <w:rsid w:val="00174D2E"/>
    <w:rsid w:val="0017579E"/>
    <w:rsid w:val="00181F61"/>
    <w:rsid w:val="00183F4D"/>
    <w:rsid w:val="0019154C"/>
    <w:rsid w:val="00192EEA"/>
    <w:rsid w:val="001961B4"/>
    <w:rsid w:val="001A0273"/>
    <w:rsid w:val="001A177C"/>
    <w:rsid w:val="001A27D0"/>
    <w:rsid w:val="001A3590"/>
    <w:rsid w:val="001A3FFE"/>
    <w:rsid w:val="001A460D"/>
    <w:rsid w:val="001A7971"/>
    <w:rsid w:val="001B03BE"/>
    <w:rsid w:val="001B0D57"/>
    <w:rsid w:val="001B397B"/>
    <w:rsid w:val="001B417B"/>
    <w:rsid w:val="001B4CD9"/>
    <w:rsid w:val="001B6B08"/>
    <w:rsid w:val="001C16B2"/>
    <w:rsid w:val="001C25D1"/>
    <w:rsid w:val="001C593F"/>
    <w:rsid w:val="001C5A96"/>
    <w:rsid w:val="001C656F"/>
    <w:rsid w:val="001C67BD"/>
    <w:rsid w:val="001C6AEA"/>
    <w:rsid w:val="001C7135"/>
    <w:rsid w:val="001D2C29"/>
    <w:rsid w:val="001D682C"/>
    <w:rsid w:val="001D7456"/>
    <w:rsid w:val="001E0D80"/>
    <w:rsid w:val="001E2860"/>
    <w:rsid w:val="001E2D0C"/>
    <w:rsid w:val="001F3B1C"/>
    <w:rsid w:val="001F625B"/>
    <w:rsid w:val="0020124C"/>
    <w:rsid w:val="002049D1"/>
    <w:rsid w:val="00211C34"/>
    <w:rsid w:val="00217F2B"/>
    <w:rsid w:val="00223374"/>
    <w:rsid w:val="00224722"/>
    <w:rsid w:val="00224789"/>
    <w:rsid w:val="00230F75"/>
    <w:rsid w:val="0023141F"/>
    <w:rsid w:val="0023268C"/>
    <w:rsid w:val="00232A33"/>
    <w:rsid w:val="0023379F"/>
    <w:rsid w:val="00243051"/>
    <w:rsid w:val="00244246"/>
    <w:rsid w:val="0025188E"/>
    <w:rsid w:val="00254845"/>
    <w:rsid w:val="00255028"/>
    <w:rsid w:val="00255F08"/>
    <w:rsid w:val="002565BE"/>
    <w:rsid w:val="0026521E"/>
    <w:rsid w:val="00272530"/>
    <w:rsid w:val="0027325F"/>
    <w:rsid w:val="002743C4"/>
    <w:rsid w:val="00274ED7"/>
    <w:rsid w:val="002815AF"/>
    <w:rsid w:val="002908B6"/>
    <w:rsid w:val="00291B08"/>
    <w:rsid w:val="002946C4"/>
    <w:rsid w:val="00296903"/>
    <w:rsid w:val="00296EC2"/>
    <w:rsid w:val="002A6EAD"/>
    <w:rsid w:val="002B0002"/>
    <w:rsid w:val="002B02E6"/>
    <w:rsid w:val="002B075B"/>
    <w:rsid w:val="002B29AE"/>
    <w:rsid w:val="002B2DD5"/>
    <w:rsid w:val="002C3756"/>
    <w:rsid w:val="002C50CC"/>
    <w:rsid w:val="002C55CC"/>
    <w:rsid w:val="002D655B"/>
    <w:rsid w:val="002D70EA"/>
    <w:rsid w:val="002D72E0"/>
    <w:rsid w:val="002D74CE"/>
    <w:rsid w:val="002D7BE3"/>
    <w:rsid w:val="002E0888"/>
    <w:rsid w:val="002E1DDC"/>
    <w:rsid w:val="002E24BB"/>
    <w:rsid w:val="002E3404"/>
    <w:rsid w:val="002E3721"/>
    <w:rsid w:val="002E3D5D"/>
    <w:rsid w:val="002E5285"/>
    <w:rsid w:val="002E6F93"/>
    <w:rsid w:val="002F5730"/>
    <w:rsid w:val="002F5BBC"/>
    <w:rsid w:val="003004EE"/>
    <w:rsid w:val="00300742"/>
    <w:rsid w:val="003014BC"/>
    <w:rsid w:val="00305748"/>
    <w:rsid w:val="00305F03"/>
    <w:rsid w:val="003162D1"/>
    <w:rsid w:val="003165FE"/>
    <w:rsid w:val="00316FBE"/>
    <w:rsid w:val="003226C8"/>
    <w:rsid w:val="00326A57"/>
    <w:rsid w:val="00326F2A"/>
    <w:rsid w:val="00327FC5"/>
    <w:rsid w:val="00332574"/>
    <w:rsid w:val="00332654"/>
    <w:rsid w:val="003326A1"/>
    <w:rsid w:val="00332775"/>
    <w:rsid w:val="00340524"/>
    <w:rsid w:val="0034059B"/>
    <w:rsid w:val="003405BA"/>
    <w:rsid w:val="00340CC8"/>
    <w:rsid w:val="00342F3D"/>
    <w:rsid w:val="0034489C"/>
    <w:rsid w:val="0035165F"/>
    <w:rsid w:val="00352D73"/>
    <w:rsid w:val="00353540"/>
    <w:rsid w:val="00353743"/>
    <w:rsid w:val="00353FE5"/>
    <w:rsid w:val="00357382"/>
    <w:rsid w:val="00360609"/>
    <w:rsid w:val="00361627"/>
    <w:rsid w:val="003629D5"/>
    <w:rsid w:val="00364094"/>
    <w:rsid w:val="00364BAA"/>
    <w:rsid w:val="00365828"/>
    <w:rsid w:val="00365ED3"/>
    <w:rsid w:val="00366A70"/>
    <w:rsid w:val="00367989"/>
    <w:rsid w:val="00371D3B"/>
    <w:rsid w:val="003736FF"/>
    <w:rsid w:val="003739DE"/>
    <w:rsid w:val="00374290"/>
    <w:rsid w:val="00376E32"/>
    <w:rsid w:val="00377483"/>
    <w:rsid w:val="00381BF4"/>
    <w:rsid w:val="00381E7F"/>
    <w:rsid w:val="00386B9C"/>
    <w:rsid w:val="0039307B"/>
    <w:rsid w:val="00396769"/>
    <w:rsid w:val="003A3980"/>
    <w:rsid w:val="003A5575"/>
    <w:rsid w:val="003A59C6"/>
    <w:rsid w:val="003A70F6"/>
    <w:rsid w:val="003B05A3"/>
    <w:rsid w:val="003B0EEE"/>
    <w:rsid w:val="003B2881"/>
    <w:rsid w:val="003B4381"/>
    <w:rsid w:val="003B50F8"/>
    <w:rsid w:val="003B6A4A"/>
    <w:rsid w:val="003B7DE0"/>
    <w:rsid w:val="003C1B1E"/>
    <w:rsid w:val="003C49E3"/>
    <w:rsid w:val="003C7ED1"/>
    <w:rsid w:val="003D6FBB"/>
    <w:rsid w:val="003D731A"/>
    <w:rsid w:val="003D7CE4"/>
    <w:rsid w:val="003E484D"/>
    <w:rsid w:val="003E7F72"/>
    <w:rsid w:val="003F2AA7"/>
    <w:rsid w:val="003F30B2"/>
    <w:rsid w:val="003F39DB"/>
    <w:rsid w:val="003F3F46"/>
    <w:rsid w:val="003F5177"/>
    <w:rsid w:val="003F5568"/>
    <w:rsid w:val="00402A21"/>
    <w:rsid w:val="00403CA8"/>
    <w:rsid w:val="004046FA"/>
    <w:rsid w:val="00406D85"/>
    <w:rsid w:val="00407AE4"/>
    <w:rsid w:val="0041173D"/>
    <w:rsid w:val="00412392"/>
    <w:rsid w:val="00412F87"/>
    <w:rsid w:val="00414831"/>
    <w:rsid w:val="004205AF"/>
    <w:rsid w:val="0042180E"/>
    <w:rsid w:val="00422242"/>
    <w:rsid w:val="0042322D"/>
    <w:rsid w:val="00424798"/>
    <w:rsid w:val="00426632"/>
    <w:rsid w:val="00427282"/>
    <w:rsid w:val="00431DC0"/>
    <w:rsid w:val="00435846"/>
    <w:rsid w:val="0043698D"/>
    <w:rsid w:val="00443CE3"/>
    <w:rsid w:val="004469B5"/>
    <w:rsid w:val="0044717C"/>
    <w:rsid w:val="00450C6E"/>
    <w:rsid w:val="004515F2"/>
    <w:rsid w:val="00462AE5"/>
    <w:rsid w:val="004644BF"/>
    <w:rsid w:val="00466D4E"/>
    <w:rsid w:val="00467586"/>
    <w:rsid w:val="00470276"/>
    <w:rsid w:val="00471078"/>
    <w:rsid w:val="0047276A"/>
    <w:rsid w:val="0047362A"/>
    <w:rsid w:val="0047371B"/>
    <w:rsid w:val="00482C1E"/>
    <w:rsid w:val="00493853"/>
    <w:rsid w:val="00497B90"/>
    <w:rsid w:val="00497DA5"/>
    <w:rsid w:val="004A69AD"/>
    <w:rsid w:val="004A7FBA"/>
    <w:rsid w:val="004B118C"/>
    <w:rsid w:val="004B2234"/>
    <w:rsid w:val="004B661D"/>
    <w:rsid w:val="004B726C"/>
    <w:rsid w:val="004C33C7"/>
    <w:rsid w:val="004C722A"/>
    <w:rsid w:val="004D373D"/>
    <w:rsid w:val="004D37F5"/>
    <w:rsid w:val="004D7271"/>
    <w:rsid w:val="004E2EEE"/>
    <w:rsid w:val="004E5EEF"/>
    <w:rsid w:val="004F0264"/>
    <w:rsid w:val="004F0FEF"/>
    <w:rsid w:val="004F5A25"/>
    <w:rsid w:val="0050053D"/>
    <w:rsid w:val="00506AFB"/>
    <w:rsid w:val="00511F4F"/>
    <w:rsid w:val="00512373"/>
    <w:rsid w:val="00515B2B"/>
    <w:rsid w:val="0051784B"/>
    <w:rsid w:val="00520CC3"/>
    <w:rsid w:val="0052179B"/>
    <w:rsid w:val="005237DB"/>
    <w:rsid w:val="00523E31"/>
    <w:rsid w:val="005268E9"/>
    <w:rsid w:val="00530177"/>
    <w:rsid w:val="00534574"/>
    <w:rsid w:val="00535049"/>
    <w:rsid w:val="00535311"/>
    <w:rsid w:val="00537455"/>
    <w:rsid w:val="00542668"/>
    <w:rsid w:val="00543115"/>
    <w:rsid w:val="00544238"/>
    <w:rsid w:val="00547208"/>
    <w:rsid w:val="00547C0A"/>
    <w:rsid w:val="00550FB7"/>
    <w:rsid w:val="0055205A"/>
    <w:rsid w:val="00554554"/>
    <w:rsid w:val="005561F0"/>
    <w:rsid w:val="00562246"/>
    <w:rsid w:val="00562A5F"/>
    <w:rsid w:val="00562CB8"/>
    <w:rsid w:val="005635B0"/>
    <w:rsid w:val="0056372C"/>
    <w:rsid w:val="00566781"/>
    <w:rsid w:val="00566A6D"/>
    <w:rsid w:val="00566F8C"/>
    <w:rsid w:val="00567BE7"/>
    <w:rsid w:val="005706E9"/>
    <w:rsid w:val="005727F4"/>
    <w:rsid w:val="00574D61"/>
    <w:rsid w:val="00584091"/>
    <w:rsid w:val="00585325"/>
    <w:rsid w:val="0058717D"/>
    <w:rsid w:val="00592571"/>
    <w:rsid w:val="005A0D64"/>
    <w:rsid w:val="005A2CCA"/>
    <w:rsid w:val="005A313B"/>
    <w:rsid w:val="005B1FE1"/>
    <w:rsid w:val="005B251B"/>
    <w:rsid w:val="005B34AC"/>
    <w:rsid w:val="005B4D95"/>
    <w:rsid w:val="005B505A"/>
    <w:rsid w:val="005C099D"/>
    <w:rsid w:val="005C3436"/>
    <w:rsid w:val="005C3507"/>
    <w:rsid w:val="005C3E89"/>
    <w:rsid w:val="005C3F41"/>
    <w:rsid w:val="005C4F64"/>
    <w:rsid w:val="005C62B9"/>
    <w:rsid w:val="005C73EF"/>
    <w:rsid w:val="005C7F39"/>
    <w:rsid w:val="005D0329"/>
    <w:rsid w:val="005D252D"/>
    <w:rsid w:val="005E1458"/>
    <w:rsid w:val="005E3247"/>
    <w:rsid w:val="005F0802"/>
    <w:rsid w:val="005F3975"/>
    <w:rsid w:val="005F55D0"/>
    <w:rsid w:val="00601118"/>
    <w:rsid w:val="006040C5"/>
    <w:rsid w:val="006108E7"/>
    <w:rsid w:val="006117EE"/>
    <w:rsid w:val="00613FF7"/>
    <w:rsid w:val="006145E9"/>
    <w:rsid w:val="0061697E"/>
    <w:rsid w:val="006179B6"/>
    <w:rsid w:val="006200EE"/>
    <w:rsid w:val="006206F7"/>
    <w:rsid w:val="00621D83"/>
    <w:rsid w:val="00623723"/>
    <w:rsid w:val="00623E92"/>
    <w:rsid w:val="00625D73"/>
    <w:rsid w:val="00635444"/>
    <w:rsid w:val="006354D2"/>
    <w:rsid w:val="00635B64"/>
    <w:rsid w:val="00644FE7"/>
    <w:rsid w:val="00650C7B"/>
    <w:rsid w:val="006521B8"/>
    <w:rsid w:val="00652A88"/>
    <w:rsid w:val="00653049"/>
    <w:rsid w:val="0065433C"/>
    <w:rsid w:val="0065538F"/>
    <w:rsid w:val="00662BE8"/>
    <w:rsid w:val="00664167"/>
    <w:rsid w:val="00665DC9"/>
    <w:rsid w:val="006742BC"/>
    <w:rsid w:val="006756EB"/>
    <w:rsid w:val="006818CE"/>
    <w:rsid w:val="006867ED"/>
    <w:rsid w:val="00691384"/>
    <w:rsid w:val="006932C8"/>
    <w:rsid w:val="0069612A"/>
    <w:rsid w:val="00697AF5"/>
    <w:rsid w:val="006A0250"/>
    <w:rsid w:val="006A4716"/>
    <w:rsid w:val="006A5219"/>
    <w:rsid w:val="006A54B0"/>
    <w:rsid w:val="006A622D"/>
    <w:rsid w:val="006A7A49"/>
    <w:rsid w:val="006B0301"/>
    <w:rsid w:val="006B10CE"/>
    <w:rsid w:val="006B1319"/>
    <w:rsid w:val="006B591E"/>
    <w:rsid w:val="006C3462"/>
    <w:rsid w:val="006C7869"/>
    <w:rsid w:val="006D08B3"/>
    <w:rsid w:val="006D1B30"/>
    <w:rsid w:val="006D2B7A"/>
    <w:rsid w:val="006D38A4"/>
    <w:rsid w:val="006D472F"/>
    <w:rsid w:val="006D6791"/>
    <w:rsid w:val="006D7F1B"/>
    <w:rsid w:val="006D7F9E"/>
    <w:rsid w:val="006E3C57"/>
    <w:rsid w:val="006E69FD"/>
    <w:rsid w:val="006F1D4E"/>
    <w:rsid w:val="006F1FF9"/>
    <w:rsid w:val="006F364A"/>
    <w:rsid w:val="006F45BE"/>
    <w:rsid w:val="006F478C"/>
    <w:rsid w:val="006F624B"/>
    <w:rsid w:val="006F7B31"/>
    <w:rsid w:val="0070090F"/>
    <w:rsid w:val="007023C1"/>
    <w:rsid w:val="00703E5F"/>
    <w:rsid w:val="00707A3B"/>
    <w:rsid w:val="00716BF2"/>
    <w:rsid w:val="00721071"/>
    <w:rsid w:val="00722CD6"/>
    <w:rsid w:val="00722D6B"/>
    <w:rsid w:val="00724B0B"/>
    <w:rsid w:val="00725E43"/>
    <w:rsid w:val="00726408"/>
    <w:rsid w:val="0073090C"/>
    <w:rsid w:val="007343E1"/>
    <w:rsid w:val="007370E8"/>
    <w:rsid w:val="00744FC0"/>
    <w:rsid w:val="007464D9"/>
    <w:rsid w:val="007503F9"/>
    <w:rsid w:val="00750987"/>
    <w:rsid w:val="007513DF"/>
    <w:rsid w:val="00753265"/>
    <w:rsid w:val="007565D1"/>
    <w:rsid w:val="00760EF2"/>
    <w:rsid w:val="0076343F"/>
    <w:rsid w:val="007642DB"/>
    <w:rsid w:val="00766A04"/>
    <w:rsid w:val="00766D46"/>
    <w:rsid w:val="0076757E"/>
    <w:rsid w:val="007711CC"/>
    <w:rsid w:val="0077160B"/>
    <w:rsid w:val="007755B7"/>
    <w:rsid w:val="007837DF"/>
    <w:rsid w:val="00783CF4"/>
    <w:rsid w:val="00785A77"/>
    <w:rsid w:val="00786BA2"/>
    <w:rsid w:val="0079546D"/>
    <w:rsid w:val="007A03F9"/>
    <w:rsid w:val="007A42B6"/>
    <w:rsid w:val="007B440F"/>
    <w:rsid w:val="007B444B"/>
    <w:rsid w:val="007B4A5A"/>
    <w:rsid w:val="007D246F"/>
    <w:rsid w:val="007D3408"/>
    <w:rsid w:val="007D48F7"/>
    <w:rsid w:val="007D4E56"/>
    <w:rsid w:val="007D7F73"/>
    <w:rsid w:val="007E3C21"/>
    <w:rsid w:val="007E6BE0"/>
    <w:rsid w:val="007E6F0E"/>
    <w:rsid w:val="007E7E90"/>
    <w:rsid w:val="007F073D"/>
    <w:rsid w:val="007F0A2C"/>
    <w:rsid w:val="007F2170"/>
    <w:rsid w:val="007F2645"/>
    <w:rsid w:val="007F53CD"/>
    <w:rsid w:val="007F54C0"/>
    <w:rsid w:val="007F5B48"/>
    <w:rsid w:val="0080072C"/>
    <w:rsid w:val="008008B6"/>
    <w:rsid w:val="008024F2"/>
    <w:rsid w:val="00806B09"/>
    <w:rsid w:val="00811DE3"/>
    <w:rsid w:val="008132CF"/>
    <w:rsid w:val="00813D35"/>
    <w:rsid w:val="008156A2"/>
    <w:rsid w:val="00821B03"/>
    <w:rsid w:val="00821F48"/>
    <w:rsid w:val="008242F8"/>
    <w:rsid w:val="008265C6"/>
    <w:rsid w:val="00826D5D"/>
    <w:rsid w:val="00832268"/>
    <w:rsid w:val="00833B2E"/>
    <w:rsid w:val="00834764"/>
    <w:rsid w:val="008355C8"/>
    <w:rsid w:val="00841554"/>
    <w:rsid w:val="00851A9F"/>
    <w:rsid w:val="00852537"/>
    <w:rsid w:val="00852AC5"/>
    <w:rsid w:val="00854330"/>
    <w:rsid w:val="0085524E"/>
    <w:rsid w:val="00855367"/>
    <w:rsid w:val="0085550E"/>
    <w:rsid w:val="00855780"/>
    <w:rsid w:val="0085741E"/>
    <w:rsid w:val="00860F56"/>
    <w:rsid w:val="00863A20"/>
    <w:rsid w:val="0086410D"/>
    <w:rsid w:val="00865530"/>
    <w:rsid w:val="00870473"/>
    <w:rsid w:val="0087115C"/>
    <w:rsid w:val="008730A1"/>
    <w:rsid w:val="00881D7F"/>
    <w:rsid w:val="00881DD9"/>
    <w:rsid w:val="00883633"/>
    <w:rsid w:val="00896D9F"/>
    <w:rsid w:val="008A3DC7"/>
    <w:rsid w:val="008B00DC"/>
    <w:rsid w:val="008B1ECE"/>
    <w:rsid w:val="008B42DF"/>
    <w:rsid w:val="008B4497"/>
    <w:rsid w:val="008B5E93"/>
    <w:rsid w:val="008B663A"/>
    <w:rsid w:val="008C08E7"/>
    <w:rsid w:val="008C1EF7"/>
    <w:rsid w:val="008C203D"/>
    <w:rsid w:val="008C282A"/>
    <w:rsid w:val="008D05F9"/>
    <w:rsid w:val="008D1073"/>
    <w:rsid w:val="008D7AC9"/>
    <w:rsid w:val="008E013D"/>
    <w:rsid w:val="008E0A86"/>
    <w:rsid w:val="008E0FE9"/>
    <w:rsid w:val="008E1230"/>
    <w:rsid w:val="008E3575"/>
    <w:rsid w:val="008E5DB1"/>
    <w:rsid w:val="008E6649"/>
    <w:rsid w:val="008E7777"/>
    <w:rsid w:val="008F031C"/>
    <w:rsid w:val="008F1EEC"/>
    <w:rsid w:val="008F43B7"/>
    <w:rsid w:val="008F59E4"/>
    <w:rsid w:val="008F68DA"/>
    <w:rsid w:val="00905A4E"/>
    <w:rsid w:val="009071EF"/>
    <w:rsid w:val="00907C70"/>
    <w:rsid w:val="009140AC"/>
    <w:rsid w:val="00914E8D"/>
    <w:rsid w:val="00916680"/>
    <w:rsid w:val="00917E25"/>
    <w:rsid w:val="00920643"/>
    <w:rsid w:val="00920DB9"/>
    <w:rsid w:val="00921DCD"/>
    <w:rsid w:val="009237AF"/>
    <w:rsid w:val="0093147B"/>
    <w:rsid w:val="0093250F"/>
    <w:rsid w:val="009344F3"/>
    <w:rsid w:val="00934A31"/>
    <w:rsid w:val="009375FC"/>
    <w:rsid w:val="0094041C"/>
    <w:rsid w:val="009421F6"/>
    <w:rsid w:val="009426F1"/>
    <w:rsid w:val="00946732"/>
    <w:rsid w:val="009511D7"/>
    <w:rsid w:val="00952572"/>
    <w:rsid w:val="00952995"/>
    <w:rsid w:val="00952BC7"/>
    <w:rsid w:val="00956B3C"/>
    <w:rsid w:val="009573D7"/>
    <w:rsid w:val="00962700"/>
    <w:rsid w:val="0096371B"/>
    <w:rsid w:val="00964C65"/>
    <w:rsid w:val="0096508E"/>
    <w:rsid w:val="0096643B"/>
    <w:rsid w:val="00966C77"/>
    <w:rsid w:val="009713E9"/>
    <w:rsid w:val="009715D9"/>
    <w:rsid w:val="00971ADE"/>
    <w:rsid w:val="00973422"/>
    <w:rsid w:val="0097626C"/>
    <w:rsid w:val="009763AA"/>
    <w:rsid w:val="00976948"/>
    <w:rsid w:val="00976C65"/>
    <w:rsid w:val="00977DA2"/>
    <w:rsid w:val="00980F69"/>
    <w:rsid w:val="00986147"/>
    <w:rsid w:val="00987A4A"/>
    <w:rsid w:val="00990498"/>
    <w:rsid w:val="00990C00"/>
    <w:rsid w:val="00993261"/>
    <w:rsid w:val="00993933"/>
    <w:rsid w:val="009940BA"/>
    <w:rsid w:val="009A52B8"/>
    <w:rsid w:val="009A611D"/>
    <w:rsid w:val="009B397C"/>
    <w:rsid w:val="009B5220"/>
    <w:rsid w:val="009B536B"/>
    <w:rsid w:val="009B5434"/>
    <w:rsid w:val="009B55E9"/>
    <w:rsid w:val="009B63E9"/>
    <w:rsid w:val="009C0794"/>
    <w:rsid w:val="009C2C63"/>
    <w:rsid w:val="009C7CB9"/>
    <w:rsid w:val="009D6E7E"/>
    <w:rsid w:val="009E08FF"/>
    <w:rsid w:val="009E2319"/>
    <w:rsid w:val="009E2D05"/>
    <w:rsid w:val="009E658C"/>
    <w:rsid w:val="009E6B69"/>
    <w:rsid w:val="009F0671"/>
    <w:rsid w:val="009F0699"/>
    <w:rsid w:val="009F1163"/>
    <w:rsid w:val="009F16A8"/>
    <w:rsid w:val="009F1B70"/>
    <w:rsid w:val="009F4156"/>
    <w:rsid w:val="009F4161"/>
    <w:rsid w:val="00A024DA"/>
    <w:rsid w:val="00A054CD"/>
    <w:rsid w:val="00A07467"/>
    <w:rsid w:val="00A10E89"/>
    <w:rsid w:val="00A21287"/>
    <w:rsid w:val="00A23A14"/>
    <w:rsid w:val="00A25A26"/>
    <w:rsid w:val="00A34056"/>
    <w:rsid w:val="00A41C06"/>
    <w:rsid w:val="00A4283F"/>
    <w:rsid w:val="00A47A92"/>
    <w:rsid w:val="00A52040"/>
    <w:rsid w:val="00A53F9B"/>
    <w:rsid w:val="00A54E93"/>
    <w:rsid w:val="00A613C0"/>
    <w:rsid w:val="00A646ED"/>
    <w:rsid w:val="00A662FC"/>
    <w:rsid w:val="00A66D11"/>
    <w:rsid w:val="00A66FA2"/>
    <w:rsid w:val="00A70906"/>
    <w:rsid w:val="00A71F8A"/>
    <w:rsid w:val="00A729F3"/>
    <w:rsid w:val="00A740C3"/>
    <w:rsid w:val="00A76AF7"/>
    <w:rsid w:val="00A778A0"/>
    <w:rsid w:val="00A836E2"/>
    <w:rsid w:val="00A857CC"/>
    <w:rsid w:val="00A90D9C"/>
    <w:rsid w:val="00A92447"/>
    <w:rsid w:val="00A93325"/>
    <w:rsid w:val="00A93F1F"/>
    <w:rsid w:val="00A94DE4"/>
    <w:rsid w:val="00A95178"/>
    <w:rsid w:val="00A956A9"/>
    <w:rsid w:val="00A95D57"/>
    <w:rsid w:val="00A9648E"/>
    <w:rsid w:val="00A96C09"/>
    <w:rsid w:val="00AA0E4E"/>
    <w:rsid w:val="00AA139D"/>
    <w:rsid w:val="00AA3C4F"/>
    <w:rsid w:val="00AB3442"/>
    <w:rsid w:val="00AB35CA"/>
    <w:rsid w:val="00AB3A22"/>
    <w:rsid w:val="00AC23D3"/>
    <w:rsid w:val="00AC3E1A"/>
    <w:rsid w:val="00AC4BA6"/>
    <w:rsid w:val="00AC57E6"/>
    <w:rsid w:val="00AD395D"/>
    <w:rsid w:val="00AD74FB"/>
    <w:rsid w:val="00AD7C16"/>
    <w:rsid w:val="00AE31A3"/>
    <w:rsid w:val="00AE52DE"/>
    <w:rsid w:val="00AE54D0"/>
    <w:rsid w:val="00AE586A"/>
    <w:rsid w:val="00AF1882"/>
    <w:rsid w:val="00AF6C2C"/>
    <w:rsid w:val="00B00609"/>
    <w:rsid w:val="00B100CC"/>
    <w:rsid w:val="00B11F92"/>
    <w:rsid w:val="00B13171"/>
    <w:rsid w:val="00B1481C"/>
    <w:rsid w:val="00B15890"/>
    <w:rsid w:val="00B167BE"/>
    <w:rsid w:val="00B217B4"/>
    <w:rsid w:val="00B21829"/>
    <w:rsid w:val="00B220D9"/>
    <w:rsid w:val="00B2271D"/>
    <w:rsid w:val="00B234CB"/>
    <w:rsid w:val="00B242D0"/>
    <w:rsid w:val="00B26A27"/>
    <w:rsid w:val="00B3171E"/>
    <w:rsid w:val="00B35BCD"/>
    <w:rsid w:val="00B45B06"/>
    <w:rsid w:val="00B45C30"/>
    <w:rsid w:val="00B46388"/>
    <w:rsid w:val="00B46C0D"/>
    <w:rsid w:val="00B546FE"/>
    <w:rsid w:val="00B57C67"/>
    <w:rsid w:val="00B610F9"/>
    <w:rsid w:val="00B64B34"/>
    <w:rsid w:val="00B66720"/>
    <w:rsid w:val="00B6753C"/>
    <w:rsid w:val="00B679CE"/>
    <w:rsid w:val="00B67D9E"/>
    <w:rsid w:val="00B67FB6"/>
    <w:rsid w:val="00B70639"/>
    <w:rsid w:val="00B71AF2"/>
    <w:rsid w:val="00B71FDB"/>
    <w:rsid w:val="00B72D1E"/>
    <w:rsid w:val="00B82D0C"/>
    <w:rsid w:val="00B82FC0"/>
    <w:rsid w:val="00B85115"/>
    <w:rsid w:val="00B860B5"/>
    <w:rsid w:val="00B90C70"/>
    <w:rsid w:val="00B90D01"/>
    <w:rsid w:val="00B91075"/>
    <w:rsid w:val="00B91C8E"/>
    <w:rsid w:val="00B93A18"/>
    <w:rsid w:val="00B93A82"/>
    <w:rsid w:val="00B944CD"/>
    <w:rsid w:val="00BA1832"/>
    <w:rsid w:val="00BA5293"/>
    <w:rsid w:val="00BA5E74"/>
    <w:rsid w:val="00BA6178"/>
    <w:rsid w:val="00BA6EF9"/>
    <w:rsid w:val="00BB2638"/>
    <w:rsid w:val="00BB69EA"/>
    <w:rsid w:val="00BB780A"/>
    <w:rsid w:val="00BC100B"/>
    <w:rsid w:val="00BC29C8"/>
    <w:rsid w:val="00BC2D79"/>
    <w:rsid w:val="00BC5FD6"/>
    <w:rsid w:val="00BD10D9"/>
    <w:rsid w:val="00BD3319"/>
    <w:rsid w:val="00BD33BB"/>
    <w:rsid w:val="00BD53F9"/>
    <w:rsid w:val="00BD6138"/>
    <w:rsid w:val="00BD781E"/>
    <w:rsid w:val="00BE40BB"/>
    <w:rsid w:val="00BE5B39"/>
    <w:rsid w:val="00BE72BC"/>
    <w:rsid w:val="00BE7A29"/>
    <w:rsid w:val="00BF0B35"/>
    <w:rsid w:val="00BF0CEB"/>
    <w:rsid w:val="00BF2229"/>
    <w:rsid w:val="00BF461B"/>
    <w:rsid w:val="00BF5BB4"/>
    <w:rsid w:val="00C003AC"/>
    <w:rsid w:val="00C01C28"/>
    <w:rsid w:val="00C03AC5"/>
    <w:rsid w:val="00C06631"/>
    <w:rsid w:val="00C10837"/>
    <w:rsid w:val="00C1146A"/>
    <w:rsid w:val="00C11D41"/>
    <w:rsid w:val="00C122B3"/>
    <w:rsid w:val="00C12D47"/>
    <w:rsid w:val="00C1524D"/>
    <w:rsid w:val="00C17194"/>
    <w:rsid w:val="00C17274"/>
    <w:rsid w:val="00C200A2"/>
    <w:rsid w:val="00C200F3"/>
    <w:rsid w:val="00C263B5"/>
    <w:rsid w:val="00C30C34"/>
    <w:rsid w:val="00C40278"/>
    <w:rsid w:val="00C43D11"/>
    <w:rsid w:val="00C441C9"/>
    <w:rsid w:val="00C45904"/>
    <w:rsid w:val="00C46C50"/>
    <w:rsid w:val="00C50A97"/>
    <w:rsid w:val="00C52698"/>
    <w:rsid w:val="00C52A19"/>
    <w:rsid w:val="00C53A10"/>
    <w:rsid w:val="00C5423E"/>
    <w:rsid w:val="00C56285"/>
    <w:rsid w:val="00C6215D"/>
    <w:rsid w:val="00C62739"/>
    <w:rsid w:val="00C62EEB"/>
    <w:rsid w:val="00C70524"/>
    <w:rsid w:val="00C72BF6"/>
    <w:rsid w:val="00C7417C"/>
    <w:rsid w:val="00C846D9"/>
    <w:rsid w:val="00C848A2"/>
    <w:rsid w:val="00C85187"/>
    <w:rsid w:val="00C852AC"/>
    <w:rsid w:val="00C86855"/>
    <w:rsid w:val="00C90BFD"/>
    <w:rsid w:val="00C9219D"/>
    <w:rsid w:val="00CA0EB8"/>
    <w:rsid w:val="00CA3B21"/>
    <w:rsid w:val="00CA4091"/>
    <w:rsid w:val="00CB1BEF"/>
    <w:rsid w:val="00CB3748"/>
    <w:rsid w:val="00CC0E1A"/>
    <w:rsid w:val="00CC509B"/>
    <w:rsid w:val="00CD30E7"/>
    <w:rsid w:val="00CD47B7"/>
    <w:rsid w:val="00CD4962"/>
    <w:rsid w:val="00CD5DAE"/>
    <w:rsid w:val="00CD6BE3"/>
    <w:rsid w:val="00CE06F5"/>
    <w:rsid w:val="00CE1B80"/>
    <w:rsid w:val="00CE1DD1"/>
    <w:rsid w:val="00CE1FEA"/>
    <w:rsid w:val="00CE7F2C"/>
    <w:rsid w:val="00CF05AE"/>
    <w:rsid w:val="00CF08B9"/>
    <w:rsid w:val="00CF438F"/>
    <w:rsid w:val="00CF6069"/>
    <w:rsid w:val="00CF6260"/>
    <w:rsid w:val="00D02680"/>
    <w:rsid w:val="00D033FF"/>
    <w:rsid w:val="00D07985"/>
    <w:rsid w:val="00D105E6"/>
    <w:rsid w:val="00D20F20"/>
    <w:rsid w:val="00D221D5"/>
    <w:rsid w:val="00D23078"/>
    <w:rsid w:val="00D24AB2"/>
    <w:rsid w:val="00D270C3"/>
    <w:rsid w:val="00D3439A"/>
    <w:rsid w:val="00D34A75"/>
    <w:rsid w:val="00D35FDD"/>
    <w:rsid w:val="00D4234E"/>
    <w:rsid w:val="00D45BA1"/>
    <w:rsid w:val="00D46842"/>
    <w:rsid w:val="00D531EC"/>
    <w:rsid w:val="00D5541A"/>
    <w:rsid w:val="00D56675"/>
    <w:rsid w:val="00D60EF8"/>
    <w:rsid w:val="00D62618"/>
    <w:rsid w:val="00D650DB"/>
    <w:rsid w:val="00D740E2"/>
    <w:rsid w:val="00D74622"/>
    <w:rsid w:val="00D75C55"/>
    <w:rsid w:val="00D80E75"/>
    <w:rsid w:val="00D82485"/>
    <w:rsid w:val="00D840C8"/>
    <w:rsid w:val="00D84569"/>
    <w:rsid w:val="00D8694B"/>
    <w:rsid w:val="00D90FCA"/>
    <w:rsid w:val="00DA28E9"/>
    <w:rsid w:val="00DA2D56"/>
    <w:rsid w:val="00DA35F1"/>
    <w:rsid w:val="00DA7B11"/>
    <w:rsid w:val="00DA7DF4"/>
    <w:rsid w:val="00DB070E"/>
    <w:rsid w:val="00DB1173"/>
    <w:rsid w:val="00DB1D56"/>
    <w:rsid w:val="00DB539D"/>
    <w:rsid w:val="00DB548F"/>
    <w:rsid w:val="00DB6CAD"/>
    <w:rsid w:val="00DC0F86"/>
    <w:rsid w:val="00DC1319"/>
    <w:rsid w:val="00DC285A"/>
    <w:rsid w:val="00DC6CCA"/>
    <w:rsid w:val="00DD005F"/>
    <w:rsid w:val="00DD261C"/>
    <w:rsid w:val="00DD331D"/>
    <w:rsid w:val="00DD4611"/>
    <w:rsid w:val="00DD4709"/>
    <w:rsid w:val="00DD7BBE"/>
    <w:rsid w:val="00DD7FA4"/>
    <w:rsid w:val="00DE1549"/>
    <w:rsid w:val="00DF33FB"/>
    <w:rsid w:val="00DF6509"/>
    <w:rsid w:val="00E03265"/>
    <w:rsid w:val="00E03CF2"/>
    <w:rsid w:val="00E04646"/>
    <w:rsid w:val="00E07BF8"/>
    <w:rsid w:val="00E11437"/>
    <w:rsid w:val="00E147E4"/>
    <w:rsid w:val="00E163BF"/>
    <w:rsid w:val="00E174F6"/>
    <w:rsid w:val="00E261DF"/>
    <w:rsid w:val="00E26B01"/>
    <w:rsid w:val="00E26E6C"/>
    <w:rsid w:val="00E307C2"/>
    <w:rsid w:val="00E33223"/>
    <w:rsid w:val="00E33F83"/>
    <w:rsid w:val="00E36109"/>
    <w:rsid w:val="00E36CDC"/>
    <w:rsid w:val="00E413C2"/>
    <w:rsid w:val="00E41E18"/>
    <w:rsid w:val="00E42E5C"/>
    <w:rsid w:val="00E52BB4"/>
    <w:rsid w:val="00E52D86"/>
    <w:rsid w:val="00E52F4B"/>
    <w:rsid w:val="00E56FEA"/>
    <w:rsid w:val="00E578D3"/>
    <w:rsid w:val="00E6471C"/>
    <w:rsid w:val="00E65C66"/>
    <w:rsid w:val="00E674A9"/>
    <w:rsid w:val="00E7051E"/>
    <w:rsid w:val="00E716AE"/>
    <w:rsid w:val="00E73807"/>
    <w:rsid w:val="00E73D50"/>
    <w:rsid w:val="00E74795"/>
    <w:rsid w:val="00E75BE5"/>
    <w:rsid w:val="00E76C5D"/>
    <w:rsid w:val="00E8049A"/>
    <w:rsid w:val="00E80B59"/>
    <w:rsid w:val="00E86E71"/>
    <w:rsid w:val="00E905E1"/>
    <w:rsid w:val="00E911C2"/>
    <w:rsid w:val="00E920D2"/>
    <w:rsid w:val="00E92421"/>
    <w:rsid w:val="00E93893"/>
    <w:rsid w:val="00EA0695"/>
    <w:rsid w:val="00EA0BA9"/>
    <w:rsid w:val="00EA55DF"/>
    <w:rsid w:val="00EA5967"/>
    <w:rsid w:val="00EA740F"/>
    <w:rsid w:val="00EB38D1"/>
    <w:rsid w:val="00EB3AE7"/>
    <w:rsid w:val="00EC1AC5"/>
    <w:rsid w:val="00EC46B9"/>
    <w:rsid w:val="00EC7180"/>
    <w:rsid w:val="00ED6C62"/>
    <w:rsid w:val="00EE3358"/>
    <w:rsid w:val="00EE4432"/>
    <w:rsid w:val="00EE6063"/>
    <w:rsid w:val="00EE745B"/>
    <w:rsid w:val="00EF145D"/>
    <w:rsid w:val="00EF176E"/>
    <w:rsid w:val="00EF3900"/>
    <w:rsid w:val="00F031B7"/>
    <w:rsid w:val="00F0349F"/>
    <w:rsid w:val="00F16C60"/>
    <w:rsid w:val="00F209A3"/>
    <w:rsid w:val="00F20AB8"/>
    <w:rsid w:val="00F20BBE"/>
    <w:rsid w:val="00F21858"/>
    <w:rsid w:val="00F2320C"/>
    <w:rsid w:val="00F23491"/>
    <w:rsid w:val="00F358DA"/>
    <w:rsid w:val="00F411AB"/>
    <w:rsid w:val="00F4135F"/>
    <w:rsid w:val="00F4494D"/>
    <w:rsid w:val="00F4675D"/>
    <w:rsid w:val="00F503DF"/>
    <w:rsid w:val="00F50D4D"/>
    <w:rsid w:val="00F567E4"/>
    <w:rsid w:val="00F608EE"/>
    <w:rsid w:val="00F60F11"/>
    <w:rsid w:val="00F644F4"/>
    <w:rsid w:val="00F661E8"/>
    <w:rsid w:val="00F70552"/>
    <w:rsid w:val="00F713E4"/>
    <w:rsid w:val="00F721E4"/>
    <w:rsid w:val="00F7442C"/>
    <w:rsid w:val="00F74D1B"/>
    <w:rsid w:val="00F77318"/>
    <w:rsid w:val="00F80A68"/>
    <w:rsid w:val="00F821C2"/>
    <w:rsid w:val="00F84839"/>
    <w:rsid w:val="00F8635C"/>
    <w:rsid w:val="00F86420"/>
    <w:rsid w:val="00F87E81"/>
    <w:rsid w:val="00F90CB3"/>
    <w:rsid w:val="00F90FC2"/>
    <w:rsid w:val="00F91637"/>
    <w:rsid w:val="00F92409"/>
    <w:rsid w:val="00F95D9D"/>
    <w:rsid w:val="00F97CE1"/>
    <w:rsid w:val="00FA09B5"/>
    <w:rsid w:val="00FA1369"/>
    <w:rsid w:val="00FA2937"/>
    <w:rsid w:val="00FA40E1"/>
    <w:rsid w:val="00FB14C9"/>
    <w:rsid w:val="00FB40C3"/>
    <w:rsid w:val="00FB6259"/>
    <w:rsid w:val="00FC0754"/>
    <w:rsid w:val="00FC22C6"/>
    <w:rsid w:val="00FC2992"/>
    <w:rsid w:val="00FC6D89"/>
    <w:rsid w:val="00FC7399"/>
    <w:rsid w:val="00FD13CF"/>
    <w:rsid w:val="00FD1DDD"/>
    <w:rsid w:val="00FD6D35"/>
    <w:rsid w:val="00FE086E"/>
    <w:rsid w:val="00FE0A3C"/>
    <w:rsid w:val="00FE18A7"/>
    <w:rsid w:val="00FE38B3"/>
    <w:rsid w:val="00FE70ED"/>
    <w:rsid w:val="00FE7265"/>
    <w:rsid w:val="00FE7531"/>
    <w:rsid w:val="00FE75CC"/>
    <w:rsid w:val="00FF07DF"/>
    <w:rsid w:val="00FF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BA847-D834-4AED-9C9D-A24FC08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1E"/>
    <w:rPr>
      <w:sz w:val="24"/>
      <w:szCs w:val="24"/>
    </w:rPr>
  </w:style>
  <w:style w:type="paragraph" w:styleId="Heading3">
    <w:name w:val="heading 3"/>
    <w:basedOn w:val="Normal"/>
    <w:next w:val="Normal"/>
    <w:qFormat/>
    <w:rsid w:val="004469B5"/>
    <w:pPr>
      <w:keepNext/>
      <w:outlineLvl w:val="2"/>
    </w:pPr>
    <w:rPr>
      <w:rFonts w:ascii="Verdana" w:hAnsi="Verdana"/>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6791"/>
    <w:rPr>
      <w:rFonts w:ascii="Tahoma" w:hAnsi="Tahoma" w:cs="Tahoma"/>
      <w:sz w:val="16"/>
      <w:szCs w:val="16"/>
    </w:rPr>
  </w:style>
  <w:style w:type="character" w:styleId="CommentReference">
    <w:name w:val="annotation reference"/>
    <w:basedOn w:val="DefaultParagraphFont"/>
    <w:rsid w:val="0041173D"/>
    <w:rPr>
      <w:sz w:val="16"/>
      <w:szCs w:val="16"/>
    </w:rPr>
  </w:style>
  <w:style w:type="paragraph" w:styleId="CommentText">
    <w:name w:val="annotation text"/>
    <w:basedOn w:val="Normal"/>
    <w:link w:val="CommentTextChar"/>
    <w:rsid w:val="0041173D"/>
    <w:rPr>
      <w:sz w:val="20"/>
      <w:szCs w:val="20"/>
    </w:rPr>
  </w:style>
  <w:style w:type="character" w:customStyle="1" w:styleId="CommentTextChar">
    <w:name w:val="Comment Text Char"/>
    <w:basedOn w:val="DefaultParagraphFont"/>
    <w:link w:val="CommentText"/>
    <w:rsid w:val="0041173D"/>
  </w:style>
  <w:style w:type="paragraph" w:styleId="CommentSubject">
    <w:name w:val="annotation subject"/>
    <w:basedOn w:val="CommentText"/>
    <w:next w:val="CommentText"/>
    <w:link w:val="CommentSubjectChar"/>
    <w:rsid w:val="0041173D"/>
    <w:rPr>
      <w:b/>
      <w:bCs/>
    </w:rPr>
  </w:style>
  <w:style w:type="character" w:customStyle="1" w:styleId="CommentSubjectChar">
    <w:name w:val="Comment Subject Char"/>
    <w:basedOn w:val="CommentTextChar"/>
    <w:link w:val="CommentSubject"/>
    <w:rsid w:val="00411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2385">
      <w:bodyDiv w:val="1"/>
      <w:marLeft w:val="0"/>
      <w:marRight w:val="0"/>
      <w:marTop w:val="0"/>
      <w:marBottom w:val="0"/>
      <w:divBdr>
        <w:top w:val="none" w:sz="0" w:space="0" w:color="auto"/>
        <w:left w:val="none" w:sz="0" w:space="0" w:color="auto"/>
        <w:bottom w:val="none" w:sz="0" w:space="0" w:color="auto"/>
        <w:right w:val="none" w:sz="0" w:space="0" w:color="auto"/>
      </w:divBdr>
      <w:divsChild>
        <w:div w:id="574511113">
          <w:marLeft w:val="0"/>
          <w:marRight w:val="0"/>
          <w:marTop w:val="0"/>
          <w:marBottom w:val="0"/>
          <w:divBdr>
            <w:top w:val="none" w:sz="0" w:space="0" w:color="auto"/>
            <w:left w:val="none" w:sz="0" w:space="0" w:color="auto"/>
            <w:bottom w:val="none" w:sz="0" w:space="0" w:color="auto"/>
            <w:right w:val="none" w:sz="0" w:space="0" w:color="auto"/>
          </w:divBdr>
          <w:divsChild>
            <w:div w:id="285738716">
              <w:marLeft w:val="0"/>
              <w:marRight w:val="0"/>
              <w:marTop w:val="0"/>
              <w:marBottom w:val="0"/>
              <w:divBdr>
                <w:top w:val="none" w:sz="0" w:space="0" w:color="auto"/>
                <w:left w:val="none" w:sz="0" w:space="0" w:color="auto"/>
                <w:bottom w:val="none" w:sz="0" w:space="0" w:color="auto"/>
                <w:right w:val="none" w:sz="0" w:space="0" w:color="auto"/>
              </w:divBdr>
              <w:divsChild>
                <w:div w:id="900284457">
                  <w:marLeft w:val="0"/>
                  <w:marRight w:val="0"/>
                  <w:marTop w:val="0"/>
                  <w:marBottom w:val="0"/>
                  <w:divBdr>
                    <w:top w:val="none" w:sz="0" w:space="0" w:color="auto"/>
                    <w:left w:val="none" w:sz="0" w:space="0" w:color="auto"/>
                    <w:bottom w:val="none" w:sz="0" w:space="0" w:color="auto"/>
                    <w:right w:val="none" w:sz="0" w:space="0" w:color="auto"/>
                  </w:divBdr>
                  <w:divsChild>
                    <w:div w:id="202908559">
                      <w:marLeft w:val="0"/>
                      <w:marRight w:val="0"/>
                      <w:marTop w:val="0"/>
                      <w:marBottom w:val="0"/>
                      <w:divBdr>
                        <w:top w:val="none" w:sz="0" w:space="0" w:color="auto"/>
                        <w:left w:val="none" w:sz="0" w:space="0" w:color="auto"/>
                        <w:bottom w:val="none" w:sz="0" w:space="0" w:color="auto"/>
                        <w:right w:val="none" w:sz="0" w:space="0" w:color="auto"/>
                      </w:divBdr>
                      <w:divsChild>
                        <w:div w:id="453913677">
                          <w:marLeft w:val="0"/>
                          <w:marRight w:val="0"/>
                          <w:marTop w:val="0"/>
                          <w:marBottom w:val="0"/>
                          <w:divBdr>
                            <w:top w:val="none" w:sz="0" w:space="0" w:color="auto"/>
                            <w:left w:val="none" w:sz="0" w:space="0" w:color="auto"/>
                            <w:bottom w:val="none" w:sz="0" w:space="0" w:color="auto"/>
                            <w:right w:val="none" w:sz="0" w:space="0" w:color="auto"/>
                          </w:divBdr>
                          <w:divsChild>
                            <w:div w:id="993336863">
                              <w:marLeft w:val="0"/>
                              <w:marRight w:val="0"/>
                              <w:marTop w:val="0"/>
                              <w:marBottom w:val="0"/>
                              <w:divBdr>
                                <w:top w:val="none" w:sz="0" w:space="0" w:color="auto"/>
                                <w:left w:val="none" w:sz="0" w:space="0" w:color="auto"/>
                                <w:bottom w:val="none" w:sz="0" w:space="0" w:color="auto"/>
                                <w:right w:val="none" w:sz="0" w:space="0" w:color="auto"/>
                              </w:divBdr>
                              <w:divsChild>
                                <w:div w:id="58598140">
                                  <w:marLeft w:val="0"/>
                                  <w:marRight w:val="0"/>
                                  <w:marTop w:val="0"/>
                                  <w:marBottom w:val="0"/>
                                  <w:divBdr>
                                    <w:top w:val="none" w:sz="0" w:space="0" w:color="auto"/>
                                    <w:left w:val="none" w:sz="0" w:space="0" w:color="auto"/>
                                    <w:bottom w:val="none" w:sz="0" w:space="0" w:color="auto"/>
                                    <w:right w:val="none" w:sz="0" w:space="0" w:color="auto"/>
                                  </w:divBdr>
                                  <w:divsChild>
                                    <w:div w:id="1175418455">
                                      <w:marLeft w:val="0"/>
                                      <w:marRight w:val="0"/>
                                      <w:marTop w:val="0"/>
                                      <w:marBottom w:val="0"/>
                                      <w:divBdr>
                                        <w:top w:val="none" w:sz="0" w:space="0" w:color="auto"/>
                                        <w:left w:val="none" w:sz="0" w:space="0" w:color="auto"/>
                                        <w:bottom w:val="none" w:sz="0" w:space="0" w:color="auto"/>
                                        <w:right w:val="none" w:sz="0" w:space="0" w:color="auto"/>
                                      </w:divBdr>
                                      <w:divsChild>
                                        <w:div w:id="813453576">
                                          <w:marLeft w:val="0"/>
                                          <w:marRight w:val="0"/>
                                          <w:marTop w:val="0"/>
                                          <w:marBottom w:val="0"/>
                                          <w:divBdr>
                                            <w:top w:val="none" w:sz="0" w:space="0" w:color="auto"/>
                                            <w:left w:val="none" w:sz="0" w:space="0" w:color="auto"/>
                                            <w:bottom w:val="none" w:sz="0" w:space="0" w:color="auto"/>
                                            <w:right w:val="none" w:sz="0" w:space="0" w:color="auto"/>
                                          </w:divBdr>
                                          <w:divsChild>
                                            <w:div w:id="656957081">
                                              <w:marLeft w:val="0"/>
                                              <w:marRight w:val="0"/>
                                              <w:marTop w:val="0"/>
                                              <w:marBottom w:val="0"/>
                                              <w:divBdr>
                                                <w:top w:val="none" w:sz="0" w:space="0" w:color="auto"/>
                                                <w:left w:val="none" w:sz="0" w:space="0" w:color="auto"/>
                                                <w:bottom w:val="none" w:sz="0" w:space="0" w:color="auto"/>
                                                <w:right w:val="none" w:sz="0" w:space="0" w:color="auto"/>
                                              </w:divBdr>
                                              <w:divsChild>
                                                <w:div w:id="761071587">
                                                  <w:marLeft w:val="0"/>
                                                  <w:marRight w:val="0"/>
                                                  <w:marTop w:val="0"/>
                                                  <w:marBottom w:val="0"/>
                                                  <w:divBdr>
                                                    <w:top w:val="none" w:sz="0" w:space="0" w:color="auto"/>
                                                    <w:left w:val="none" w:sz="0" w:space="0" w:color="auto"/>
                                                    <w:bottom w:val="none" w:sz="0" w:space="0" w:color="auto"/>
                                                    <w:right w:val="none" w:sz="0" w:space="0" w:color="auto"/>
                                                  </w:divBdr>
                                                  <w:divsChild>
                                                    <w:div w:id="731268776">
                                                      <w:marLeft w:val="0"/>
                                                      <w:marRight w:val="0"/>
                                                      <w:marTop w:val="0"/>
                                                      <w:marBottom w:val="0"/>
                                                      <w:divBdr>
                                                        <w:top w:val="none" w:sz="0" w:space="0" w:color="auto"/>
                                                        <w:left w:val="none" w:sz="0" w:space="0" w:color="auto"/>
                                                        <w:bottom w:val="none" w:sz="0" w:space="0" w:color="auto"/>
                                                        <w:right w:val="none" w:sz="0" w:space="0" w:color="auto"/>
                                                      </w:divBdr>
                                                      <w:divsChild>
                                                        <w:div w:id="671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4739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Praesideo Power Amplifier LBB4421/10</vt:lpstr>
      <vt:lpstr>Praesideo Power Amplifier LBB4421/10</vt:lpstr>
    </vt:vector>
  </TitlesOfParts>
  <Company>BOSCH Group</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Praesideo Power Amplifier LBB4421/10</dc:title>
  <dc:creator>svr5bda</dc:creator>
  <cp:lastModifiedBy>Orendac, Michal</cp:lastModifiedBy>
  <cp:revision>6</cp:revision>
  <dcterms:created xsi:type="dcterms:W3CDTF">2015-05-31T08:19:00Z</dcterms:created>
  <dcterms:modified xsi:type="dcterms:W3CDTF">2016-05-10T08:23:00Z</dcterms:modified>
</cp:coreProperties>
</file>