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7275D4">
        <w:trPr>
          <w:trHeight w:val="1089"/>
        </w:trPr>
        <w:tc>
          <w:tcPr>
            <w:tcW w:w="9259" w:type="dxa"/>
            <w:shd w:val="clear" w:color="auto" w:fill="E6E6E6"/>
            <w:vAlign w:val="center"/>
          </w:tcPr>
          <w:p w:rsidR="003F3B3C" w:rsidRPr="007275D4" w:rsidRDefault="006837A0">
            <w:pPr>
              <w:pStyle w:val="Titel"/>
            </w:pPr>
            <w:r w:rsidRPr="007275D4">
              <w:t>Kaiuttimien linjaeristinjärjestelmä</w:t>
            </w:r>
          </w:p>
          <w:p w:rsidR="003F3B3C" w:rsidRPr="007275D4" w:rsidRDefault="003F3B3C">
            <w:pPr>
              <w:pStyle w:val="Titel"/>
            </w:pPr>
          </w:p>
        </w:tc>
      </w:tr>
      <w:tr w:rsidR="003F3B3C" w:rsidRPr="007275D4">
        <w:tblPrEx>
          <w:tblCellMar>
            <w:left w:w="0" w:type="dxa"/>
            <w:right w:w="0" w:type="dxa"/>
          </w:tblCellMar>
        </w:tblPrEx>
        <w:trPr>
          <w:trHeight w:val="4763"/>
        </w:trPr>
        <w:tc>
          <w:tcPr>
            <w:tcW w:w="9259" w:type="dxa"/>
            <w:shd w:val="clear" w:color="auto" w:fill="E6E6E6"/>
          </w:tcPr>
          <w:p w:rsidR="003F3B3C" w:rsidRPr="007275D4" w:rsidRDefault="00994CB4">
            <w:pPr>
              <w:pStyle w:val="Titel"/>
              <w:snapToGrid w:val="0"/>
              <w:rPr>
                <w:sz w:val="20"/>
              </w:rPr>
            </w:pPr>
            <w:r w:rsidRPr="007275D4">
              <w:rPr>
                <w:noProof/>
                <w:lang w:val="en-US" w:eastAsia="zh-TW" w:bidi="ar-SA"/>
              </w:rPr>
              <mc:AlternateContent>
                <mc:Choice Requires="wps">
                  <w:drawing>
                    <wp:anchor distT="0" distB="0" distL="114935" distR="114935" simplePos="0" relativeHeight="251661312" behindDoc="0" locked="0" layoutInCell="1" allowOverlap="1" wp14:anchorId="15AC214D" wp14:editId="07864A30">
                      <wp:simplePos x="0" y="0"/>
                      <wp:positionH relativeFrom="column">
                        <wp:align>center</wp:align>
                      </wp:positionH>
                      <wp:positionV relativeFrom="paragraph">
                        <wp:posOffset>-1270</wp:posOffset>
                      </wp:positionV>
                      <wp:extent cx="5871210" cy="3020060"/>
                      <wp:effectExtent l="12700" t="7620" r="12065"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bidi="ar-SA"/>
                                    </w:rPr>
                                    <w:drawing>
                                      <wp:inline distT="0" distB="0" distL="0" distR="0" wp14:anchorId="070499B4" wp14:editId="56893042">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bidi="ar-SA"/>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1"/>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7275D4">
        <w:tblPrEx>
          <w:tblCellMar>
            <w:left w:w="0" w:type="dxa"/>
            <w:right w:w="0" w:type="dxa"/>
          </w:tblCellMar>
        </w:tblPrEx>
        <w:trPr>
          <w:trHeight w:val="816"/>
        </w:trPr>
        <w:tc>
          <w:tcPr>
            <w:tcW w:w="9259" w:type="dxa"/>
            <w:shd w:val="clear" w:color="auto" w:fill="E6E6E6"/>
          </w:tcPr>
          <w:p w:rsidR="003F3B3C" w:rsidRPr="007275D4" w:rsidRDefault="003F3B3C">
            <w:pPr>
              <w:pStyle w:val="Titel"/>
              <w:snapToGrid w:val="0"/>
              <w:jc w:val="right"/>
            </w:pPr>
          </w:p>
        </w:tc>
      </w:tr>
      <w:tr w:rsidR="003F3B3C" w:rsidRPr="007275D4">
        <w:tblPrEx>
          <w:tblCellMar>
            <w:left w:w="0" w:type="dxa"/>
            <w:right w:w="0" w:type="dxa"/>
          </w:tblCellMar>
        </w:tblPrEx>
        <w:trPr>
          <w:trHeight w:val="7193"/>
        </w:trPr>
        <w:tc>
          <w:tcPr>
            <w:tcW w:w="9259" w:type="dxa"/>
            <w:shd w:val="clear" w:color="auto" w:fill="E6E6E6"/>
          </w:tcPr>
          <w:p w:rsidR="003F3B3C" w:rsidRPr="007275D4" w:rsidRDefault="00994CB4">
            <w:pPr>
              <w:pStyle w:val="Languages"/>
              <w:ind w:left="6392" w:hanging="450"/>
              <w:jc w:val="left"/>
            </w:pPr>
            <w:r w:rsidRPr="007275D4">
              <w:rPr>
                <w:noProof/>
                <w:lang w:val="en-US" w:eastAsia="zh-TW" w:bidi="ar-SA"/>
              </w:rPr>
              <mc:AlternateContent>
                <mc:Choice Requires="wps">
                  <w:drawing>
                    <wp:anchor distT="0" distB="0" distL="114300" distR="114300" simplePos="0" relativeHeight="251654144" behindDoc="0" locked="0" layoutInCell="1" allowOverlap="1" wp14:anchorId="45D8C44A" wp14:editId="27EF3535">
                      <wp:simplePos x="0" y="0"/>
                      <wp:positionH relativeFrom="column">
                        <wp:posOffset>3739515</wp:posOffset>
                      </wp:positionH>
                      <wp:positionV relativeFrom="paragraph">
                        <wp:posOffset>29845</wp:posOffset>
                      </wp:positionV>
                      <wp:extent cx="0" cy="309880"/>
                      <wp:effectExtent l="19050" t="19050" r="38100" b="330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35pt" to="294.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" strokecolor="gray" strokeweight=".26mm">
                      <v:stroke joinstyle="miter" endcap="square"/>
                    </v:line>
                  </w:pict>
                </mc:Fallback>
              </mc:AlternateContent>
            </w:r>
            <w:r w:rsidR="00495EEA" w:rsidRPr="007275D4">
              <w:t>fi</w:t>
            </w:r>
            <w:r w:rsidR="00495EEA" w:rsidRPr="007275D4">
              <w:tab/>
            </w:r>
            <w:bookmarkStart w:id="0" w:name="OLE_LINK5"/>
            <w:bookmarkStart w:id="1" w:name="OLE_LINK6"/>
            <w:r w:rsidR="00495EEA" w:rsidRPr="007275D4">
              <w:t>Tekniset tiedot</w:t>
            </w:r>
            <w:r w:rsidR="00495EEA" w:rsidRPr="007275D4">
              <w:br/>
              <w:t>ja</w:t>
            </w:r>
            <w:r w:rsidR="00855316">
              <w:t xml:space="preserve"> </w:t>
            </w:r>
            <w:r w:rsidR="00495EEA" w:rsidRPr="007275D4">
              <w:t>ominaisuudet</w:t>
            </w:r>
            <w:r w:rsidR="0048342F" w:rsidRPr="007275D4">
              <w:br/>
            </w:r>
            <w:bookmarkEnd w:id="0"/>
            <w:bookmarkEnd w:id="1"/>
          </w:p>
          <w:p w:rsidR="003F3B3C" w:rsidRPr="007275D4" w:rsidRDefault="003F3B3C">
            <w:pPr>
              <w:pStyle w:val="Languages"/>
            </w:pPr>
          </w:p>
        </w:tc>
      </w:tr>
    </w:tbl>
    <w:p w:rsidR="003F3B3C" w:rsidRPr="007275D4" w:rsidRDefault="002A5447">
      <w:pPr>
        <w:pStyle w:val="Titel"/>
        <w:sectPr w:rsidR="003F3B3C" w:rsidRPr="007275D4">
          <w:footerReference w:type="default" r:id="rId12"/>
          <w:pgSz w:w="11906" w:h="16838"/>
          <w:pgMar w:top="907" w:right="1191" w:bottom="1890" w:left="2007" w:header="720" w:footer="714" w:gutter="0"/>
          <w:cols w:space="720"/>
          <w:docGrid w:linePitch="360"/>
        </w:sectPr>
      </w:pPr>
      <w:r w:rsidRPr="007275D4">
        <w:rPr>
          <w:noProof/>
          <w:lang w:val="en-US" w:eastAsia="zh-TW" w:bidi="ar-SA"/>
        </w:rPr>
        <w:drawing>
          <wp:anchor distT="0" distB="0" distL="114935" distR="114935" simplePos="0" relativeHeight="251659264" behindDoc="0" locked="0" layoutInCell="1" allowOverlap="1" wp14:anchorId="1ED9026E" wp14:editId="063EF714">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7275D4" w:rsidRDefault="0048342F">
      <w:r w:rsidRPr="007275D4">
        <w:rPr>
          <w:rFonts w:ascii="Arial" w:hAnsi="Arial" w:cs="Arial"/>
          <w:b/>
          <w:sz w:val="32"/>
        </w:rPr>
        <w:lastRenderedPageBreak/>
        <w:t>Tietoja tästä asiakirjasta</w:t>
      </w:r>
    </w:p>
    <w:p w:rsidR="003F3B3C" w:rsidRPr="007275D4" w:rsidRDefault="003F3B3C"/>
    <w:p w:rsidR="003F3B3C" w:rsidRPr="007275D4" w:rsidRDefault="0048342F">
      <w:r w:rsidRPr="007275D4">
        <w:rPr>
          <w:rFonts w:ascii="Arial" w:hAnsi="Arial" w:cs="Arial"/>
          <w:b/>
          <w:sz w:val="24"/>
        </w:rPr>
        <w:t>Oppaan tarkoitus</w:t>
      </w:r>
    </w:p>
    <w:p w:rsidR="003F3B3C" w:rsidRPr="007275D4" w:rsidRDefault="0048342F">
      <w:r w:rsidRPr="007275D4">
        <w:t>Valmisteltaessa Boschin kaiuttimien linjaeristinjärjestelmän teknisiä tietoja, hintatietoja tai tarjousta tietoihin on mahdollisesti lisättävä yksityiskohtainen kuvaus kaikkien mukana toimitettavien laitteiden toiminnasta. Tässä julkaisussa esitellyt tekniset tiedot ja ominaisuudet on tarkoitettu juuri tähän tarkoitukseen, ja näitä tietoja saa tarvittaessa kopioida ja jäljentää.</w:t>
      </w:r>
    </w:p>
    <w:p w:rsidR="003F3B3C" w:rsidRPr="007275D4" w:rsidRDefault="003F3B3C"/>
    <w:p w:rsidR="003F3B3C" w:rsidRPr="007275D4" w:rsidRDefault="0048342F">
      <w:r w:rsidRPr="007275D4">
        <w:rPr>
          <w:rFonts w:ascii="Arial" w:hAnsi="Arial" w:cs="Arial"/>
          <w:b/>
          <w:sz w:val="24"/>
        </w:rPr>
        <w:t>Kohde</w:t>
      </w:r>
    </w:p>
    <w:p w:rsidR="003F3B3C" w:rsidRPr="007275D4" w:rsidRDefault="006837A0" w:rsidP="00FE3769">
      <w:r w:rsidRPr="007275D4">
        <w:t>Boschin kaiuttimien linjaeristinjärjestelmää on käytettävä yhdessä Praesideo- tai Plena-äänievakuointijärjestelmän kanssa. Tässä Tekniset tiedot ja ominaisuudet -ohjeessa oleva toiminnan kuvaus koskee vain Boschin kaiuttimien linjaeristinjärjestelmää.</w:t>
      </w:r>
    </w:p>
    <w:p w:rsidR="003F3B3C" w:rsidRPr="007275D4" w:rsidRDefault="003F3B3C"/>
    <w:p w:rsidR="003F3B3C" w:rsidRPr="007275D4" w:rsidRDefault="0048342F">
      <w:r w:rsidRPr="007275D4">
        <w:rPr>
          <w:rFonts w:ascii="Arial" w:hAnsi="Arial" w:cs="Arial"/>
          <w:b/>
          <w:sz w:val="24"/>
        </w:rPr>
        <w:t>Yleisö</w:t>
      </w:r>
    </w:p>
    <w:p w:rsidR="003F3B3C" w:rsidRPr="007275D4" w:rsidRDefault="0048342F">
      <w:r w:rsidRPr="007275D4">
        <w:t>Nämä tekniset tiedot ja ominaisuudet täyttävät yleisäänentoisto- ja äänievakuointijärjestelmien suunnittelussa, määrittämisessä ja hankinnassa sekä projektinhallinnassa toimivien urakoitsijoiden, konsulttien ja muiden asiantuntijoiden tarpeet.</w:t>
      </w:r>
    </w:p>
    <w:p w:rsidR="003F3B3C" w:rsidRPr="007275D4" w:rsidRDefault="003F3B3C"/>
    <w:p w:rsidR="003F3B3C" w:rsidRPr="007275D4" w:rsidRDefault="0048342F">
      <w:r w:rsidRPr="007275D4">
        <w:rPr>
          <w:rFonts w:ascii="Arial" w:hAnsi="Arial" w:cs="Arial"/>
          <w:b/>
          <w:sz w:val="24"/>
        </w:rPr>
        <w:t>Tekijänoikeudet</w:t>
      </w:r>
    </w:p>
    <w:p w:rsidR="003F3B3C" w:rsidRPr="007275D4" w:rsidRDefault="0048342F">
      <w:r w:rsidRPr="007275D4">
        <w:t>Bosch Security Systems BV, Eindhoven, omistaa näiden teknisten tietojen tekijänoikeudet. Valtuutetut asiantuntijat ja organisaatiot saavat kuitenkin jäljentää näitä teknisiä tietoja kokonaan tai osittain halutessaan tukea myyntiä ja projektinhallintaa tarjousten tekemisessä ja teknisiä tietoja koskevien ehdotusten sekä muun vastaavan dokumentaation laadinnassa.</w:t>
      </w:r>
    </w:p>
    <w:p w:rsidR="003F3B3C" w:rsidRPr="007275D4" w:rsidRDefault="003F3B3C"/>
    <w:p w:rsidR="003F3B3C" w:rsidRPr="007275D4" w:rsidRDefault="0048342F">
      <w:r w:rsidRPr="007275D4">
        <w:rPr>
          <w:rFonts w:ascii="Arial" w:hAnsi="Arial" w:cs="Arial"/>
          <w:b/>
          <w:sz w:val="24"/>
        </w:rPr>
        <w:t>Asiakirjamuoto</w:t>
      </w:r>
    </w:p>
    <w:p w:rsidR="003F3B3C" w:rsidRPr="007275D4" w:rsidRDefault="0048342F">
      <w:r w:rsidRPr="007275D4">
        <w:t xml:space="preserve">Tekniset tiedot ja ominaisuudet ovat saatavana digitaalisessa muodossa Word-dokumenttina (.doc). Kaikki viittaukset digitaalisen asiakirjan sivuihin, kuviin, taulukoihin ja muihin kohtiin sisältävät hyperlinkin viitattuun kohtaan. </w:t>
      </w:r>
    </w:p>
    <w:p w:rsidR="003F3B3C" w:rsidRPr="007275D4" w:rsidRDefault="003F3B3C"/>
    <w:p w:rsidR="003F3B3C" w:rsidRPr="007275D4" w:rsidRDefault="003F3B3C">
      <w:pPr>
        <w:pStyle w:val="TOCHeading1"/>
      </w:pPr>
    </w:p>
    <w:p w:rsidR="003F3B3C" w:rsidRPr="007275D4" w:rsidRDefault="003F3B3C">
      <w:pPr>
        <w:sectPr w:rsidR="003F3B3C" w:rsidRPr="007275D4">
          <w:footerReference w:type="default" r:id="rId14"/>
          <w:pgSz w:w="11906" w:h="16838"/>
          <w:pgMar w:top="1372" w:right="1191" w:bottom="1361" w:left="1191" w:header="720" w:footer="584" w:gutter="0"/>
          <w:cols w:num="2" w:space="720"/>
          <w:docGrid w:linePitch="360"/>
        </w:sectPr>
      </w:pPr>
    </w:p>
    <w:p w:rsidR="003F3B3C" w:rsidRPr="007275D4" w:rsidRDefault="0048342F">
      <w:pPr>
        <w:pStyle w:val="TOCHeading1"/>
        <w:tabs>
          <w:tab w:val="clear" w:pos="600"/>
          <w:tab w:val="clear" w:pos="4320"/>
          <w:tab w:val="clear" w:pos="4616"/>
          <w:tab w:val="clear" w:pos="8640"/>
        </w:tabs>
        <w:spacing w:after="0"/>
      </w:pPr>
      <w:r w:rsidRPr="007275D4">
        <w:lastRenderedPageBreak/>
        <w:t>Sisällysluettelo</w:t>
      </w:r>
    </w:p>
    <w:p w:rsidR="003F3B3C" w:rsidRPr="007275D4" w:rsidRDefault="003F3B3C">
      <w:pPr>
        <w:pStyle w:val="TOCHeading1"/>
        <w:tabs>
          <w:tab w:val="clear" w:pos="600"/>
          <w:tab w:val="clear" w:pos="4320"/>
          <w:tab w:val="clear" w:pos="4616"/>
          <w:tab w:val="clear" w:pos="8640"/>
        </w:tabs>
        <w:spacing w:after="0"/>
      </w:pPr>
    </w:p>
    <w:p w:rsidR="003F3B3C" w:rsidRPr="007275D4" w:rsidRDefault="003F3B3C">
      <w:pPr>
        <w:pStyle w:val="TOCHeading1"/>
        <w:tabs>
          <w:tab w:val="clear" w:pos="600"/>
          <w:tab w:val="clear" w:pos="4320"/>
          <w:tab w:val="clear" w:pos="4616"/>
          <w:tab w:val="clear" w:pos="8640"/>
        </w:tabs>
        <w:spacing w:after="0"/>
      </w:pPr>
    </w:p>
    <w:p w:rsidR="003F3B3C" w:rsidRPr="007275D4" w:rsidRDefault="003F3B3C">
      <w:pPr>
        <w:pStyle w:val="TOCHeading1"/>
        <w:tabs>
          <w:tab w:val="clear" w:pos="600"/>
          <w:tab w:val="clear" w:pos="4320"/>
          <w:tab w:val="clear" w:pos="4616"/>
          <w:tab w:val="clear" w:pos="8640"/>
        </w:tabs>
        <w:spacing w:after="0"/>
      </w:pPr>
    </w:p>
    <w:p w:rsidR="003F3B3C" w:rsidRPr="007275D4" w:rsidRDefault="003F3B3C">
      <w:pPr>
        <w:sectPr w:rsidR="003F3B3C" w:rsidRPr="007275D4">
          <w:headerReference w:type="default" r:id="rId15"/>
          <w:footerReference w:type="even" r:id="rId16"/>
          <w:footerReference w:type="default" r:id="rId17"/>
          <w:headerReference w:type="first" r:id="rId18"/>
          <w:footerReference w:type="first" r:id="rId19"/>
          <w:pgSz w:w="11906" w:h="16838"/>
          <w:pgMar w:top="1372" w:right="1191" w:bottom="1361" w:left="1191" w:header="567" w:footer="584" w:gutter="0"/>
          <w:cols w:num="2" w:space="272"/>
          <w:docGrid w:linePitch="360"/>
        </w:sectPr>
      </w:pPr>
    </w:p>
    <w:p w:rsidR="00310184" w:rsidRPr="007275D4" w:rsidRDefault="00495EEA">
      <w:pPr>
        <w:pStyle w:val="TOC1"/>
        <w:rPr>
          <w:rFonts w:asciiTheme="minorHAnsi" w:eastAsiaTheme="minorEastAsia" w:hAnsiTheme="minorHAnsi" w:cstheme="minorBidi"/>
          <w:b w:val="0"/>
          <w:noProof/>
          <w:sz w:val="22"/>
          <w:szCs w:val="22"/>
          <w:lang w:eastAsia="zh-TW" w:bidi="ar-SA"/>
        </w:rPr>
      </w:pPr>
      <w:r w:rsidRPr="007275D4">
        <w:lastRenderedPageBreak/>
        <w:fldChar w:fldCharType="begin"/>
      </w:r>
      <w:r w:rsidR="0048342F" w:rsidRPr="007275D4">
        <w:instrText xml:space="preserve"> TOC </w:instrText>
      </w:r>
      <w:r w:rsidRPr="007275D4">
        <w:fldChar w:fldCharType="separate"/>
      </w:r>
      <w:r w:rsidR="00310184" w:rsidRPr="007275D4">
        <w:rPr>
          <w:rFonts w:ascii="AkzidenzGroteskBQ" w:hAnsi="AkzidenzGroteskBQ" w:cs="AkzidenzGroteskBQ"/>
          <w:noProof/>
        </w:rPr>
        <w:t>1</w:t>
      </w:r>
      <w:r w:rsidR="00310184" w:rsidRPr="007275D4">
        <w:rPr>
          <w:rFonts w:asciiTheme="minorHAnsi" w:eastAsiaTheme="minorEastAsia" w:hAnsiTheme="minorHAnsi" w:cstheme="minorBidi"/>
          <w:b w:val="0"/>
          <w:noProof/>
          <w:sz w:val="22"/>
          <w:szCs w:val="22"/>
          <w:lang w:eastAsia="zh-TW" w:bidi="ar-SA"/>
        </w:rPr>
        <w:tab/>
      </w:r>
      <w:r w:rsidR="00310184" w:rsidRPr="007275D4">
        <w:rPr>
          <w:noProof/>
        </w:rPr>
        <w:t>Johdanto</w:t>
      </w:r>
      <w:r w:rsidR="00310184" w:rsidRPr="007275D4">
        <w:rPr>
          <w:noProof/>
        </w:rPr>
        <w:tab/>
      </w:r>
      <w:r w:rsidR="00310184" w:rsidRPr="007275D4">
        <w:rPr>
          <w:noProof/>
        </w:rPr>
        <w:fldChar w:fldCharType="begin"/>
      </w:r>
      <w:r w:rsidR="00310184" w:rsidRPr="007275D4">
        <w:rPr>
          <w:noProof/>
        </w:rPr>
        <w:instrText xml:space="preserve"> PAGEREF _Toc386022847 \h </w:instrText>
      </w:r>
      <w:r w:rsidR="00310184" w:rsidRPr="007275D4">
        <w:rPr>
          <w:noProof/>
        </w:rPr>
      </w:r>
      <w:r w:rsidR="00310184" w:rsidRPr="007275D4">
        <w:rPr>
          <w:noProof/>
        </w:rPr>
        <w:fldChar w:fldCharType="separate"/>
      </w:r>
      <w:r w:rsidR="000826D8" w:rsidRPr="007275D4">
        <w:rPr>
          <w:noProof/>
        </w:rPr>
        <w:t>4</w:t>
      </w:r>
      <w:r w:rsidR="00310184" w:rsidRPr="007275D4">
        <w:rPr>
          <w:noProof/>
        </w:rPr>
        <w:fldChar w:fldCharType="end"/>
      </w:r>
    </w:p>
    <w:p w:rsidR="00310184" w:rsidRPr="007275D4" w:rsidRDefault="00310184">
      <w:pPr>
        <w:pStyle w:val="TOC1"/>
        <w:rPr>
          <w:rFonts w:asciiTheme="minorHAnsi" w:eastAsiaTheme="minorEastAsia" w:hAnsiTheme="minorHAnsi" w:cstheme="minorBidi"/>
          <w:b w:val="0"/>
          <w:noProof/>
          <w:sz w:val="22"/>
          <w:szCs w:val="22"/>
          <w:lang w:eastAsia="zh-TW" w:bidi="ar-SA"/>
        </w:rPr>
      </w:pPr>
      <w:r w:rsidRPr="007275D4">
        <w:rPr>
          <w:rFonts w:ascii="AkzidenzGroteskBQ" w:hAnsi="AkzidenzGroteskBQ" w:cs="AkzidenzGroteskBQ"/>
          <w:noProof/>
        </w:rPr>
        <w:t>2</w:t>
      </w:r>
      <w:r w:rsidRPr="007275D4">
        <w:rPr>
          <w:rFonts w:asciiTheme="minorHAnsi" w:eastAsiaTheme="minorEastAsia" w:hAnsiTheme="minorHAnsi" w:cstheme="minorBidi"/>
          <w:b w:val="0"/>
          <w:noProof/>
          <w:sz w:val="22"/>
          <w:szCs w:val="22"/>
          <w:lang w:eastAsia="zh-TW" w:bidi="ar-SA"/>
        </w:rPr>
        <w:tab/>
      </w:r>
      <w:r w:rsidRPr="007275D4">
        <w:rPr>
          <w:noProof/>
        </w:rPr>
        <w:t>Teknisten tietojen kattavuus</w:t>
      </w:r>
      <w:r w:rsidRPr="007275D4">
        <w:rPr>
          <w:noProof/>
        </w:rPr>
        <w:tab/>
      </w:r>
      <w:r w:rsidRPr="007275D4">
        <w:rPr>
          <w:noProof/>
        </w:rPr>
        <w:fldChar w:fldCharType="begin"/>
      </w:r>
      <w:r w:rsidRPr="007275D4">
        <w:rPr>
          <w:noProof/>
        </w:rPr>
        <w:instrText xml:space="preserve"> PAGEREF _Toc386022848 \h </w:instrText>
      </w:r>
      <w:r w:rsidRPr="007275D4">
        <w:rPr>
          <w:noProof/>
        </w:rPr>
      </w:r>
      <w:r w:rsidRPr="007275D4">
        <w:rPr>
          <w:noProof/>
        </w:rPr>
        <w:fldChar w:fldCharType="separate"/>
      </w:r>
      <w:r w:rsidR="000826D8" w:rsidRPr="007275D4">
        <w:rPr>
          <w:noProof/>
        </w:rPr>
        <w:t>4</w:t>
      </w:r>
      <w:r w:rsidRPr="007275D4">
        <w:rPr>
          <w:noProof/>
        </w:rPr>
        <w:fldChar w:fldCharType="end"/>
      </w:r>
    </w:p>
    <w:p w:rsidR="00310184" w:rsidRPr="007275D4" w:rsidRDefault="00310184">
      <w:pPr>
        <w:pStyle w:val="TOC1"/>
        <w:rPr>
          <w:rFonts w:asciiTheme="minorHAnsi" w:eastAsiaTheme="minorEastAsia" w:hAnsiTheme="minorHAnsi" w:cstheme="minorBidi"/>
          <w:b w:val="0"/>
          <w:noProof/>
          <w:sz w:val="22"/>
          <w:szCs w:val="22"/>
          <w:lang w:eastAsia="zh-TW" w:bidi="ar-SA"/>
        </w:rPr>
      </w:pPr>
      <w:r w:rsidRPr="007275D4">
        <w:rPr>
          <w:rFonts w:ascii="AkzidenzGroteskBQ" w:hAnsi="AkzidenzGroteskBQ" w:cs="AkzidenzGroteskBQ"/>
          <w:noProof/>
        </w:rPr>
        <w:t>3</w:t>
      </w:r>
      <w:r w:rsidRPr="007275D4">
        <w:rPr>
          <w:rFonts w:asciiTheme="minorHAnsi" w:eastAsiaTheme="minorEastAsia" w:hAnsiTheme="minorHAnsi" w:cstheme="minorBidi"/>
          <w:b w:val="0"/>
          <w:noProof/>
          <w:sz w:val="22"/>
          <w:szCs w:val="22"/>
          <w:lang w:eastAsia="zh-TW" w:bidi="ar-SA"/>
        </w:rPr>
        <w:tab/>
      </w:r>
      <w:r w:rsidRPr="007275D4">
        <w:rPr>
          <w:noProof/>
        </w:rPr>
        <w:t>Järjestelmän yhteenveto</w:t>
      </w:r>
      <w:r w:rsidRPr="007275D4">
        <w:rPr>
          <w:noProof/>
        </w:rPr>
        <w:tab/>
      </w:r>
      <w:r w:rsidRPr="007275D4">
        <w:rPr>
          <w:noProof/>
        </w:rPr>
        <w:fldChar w:fldCharType="begin"/>
      </w:r>
      <w:r w:rsidRPr="007275D4">
        <w:rPr>
          <w:noProof/>
        </w:rPr>
        <w:instrText xml:space="preserve"> PAGEREF _Toc386022849 \h </w:instrText>
      </w:r>
      <w:r w:rsidRPr="007275D4">
        <w:rPr>
          <w:noProof/>
        </w:rPr>
      </w:r>
      <w:r w:rsidRPr="007275D4">
        <w:rPr>
          <w:noProof/>
        </w:rPr>
        <w:fldChar w:fldCharType="separate"/>
      </w:r>
      <w:r w:rsidR="000826D8" w:rsidRPr="007275D4">
        <w:rPr>
          <w:noProof/>
        </w:rPr>
        <w:t>4</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3.1</w:t>
      </w:r>
      <w:r w:rsidRPr="007275D4">
        <w:rPr>
          <w:rFonts w:asciiTheme="minorHAnsi" w:eastAsiaTheme="minorEastAsia" w:hAnsiTheme="minorHAnsi" w:cstheme="minorBidi"/>
          <w:noProof/>
          <w:sz w:val="22"/>
          <w:szCs w:val="22"/>
          <w:lang w:eastAsia="zh-TW" w:bidi="ar-SA"/>
        </w:rPr>
        <w:tab/>
      </w:r>
      <w:r w:rsidRPr="007275D4">
        <w:rPr>
          <w:noProof/>
        </w:rPr>
        <w:t>Järjestelmän yleistiedot</w:t>
      </w:r>
      <w:r w:rsidRPr="007275D4">
        <w:rPr>
          <w:noProof/>
        </w:rPr>
        <w:tab/>
      </w:r>
      <w:r w:rsidRPr="007275D4">
        <w:rPr>
          <w:noProof/>
        </w:rPr>
        <w:fldChar w:fldCharType="begin"/>
      </w:r>
      <w:r w:rsidRPr="007275D4">
        <w:rPr>
          <w:noProof/>
        </w:rPr>
        <w:instrText xml:space="preserve"> PAGEREF _Toc386022850 \h </w:instrText>
      </w:r>
      <w:r w:rsidRPr="007275D4">
        <w:rPr>
          <w:noProof/>
        </w:rPr>
      </w:r>
      <w:r w:rsidRPr="007275D4">
        <w:rPr>
          <w:noProof/>
        </w:rPr>
        <w:fldChar w:fldCharType="separate"/>
      </w:r>
      <w:r w:rsidR="000826D8" w:rsidRPr="007275D4">
        <w:rPr>
          <w:noProof/>
        </w:rPr>
        <w:t>4</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3.2</w:t>
      </w:r>
      <w:r w:rsidRPr="007275D4">
        <w:rPr>
          <w:rFonts w:asciiTheme="minorHAnsi" w:eastAsiaTheme="minorEastAsia" w:hAnsiTheme="minorHAnsi" w:cstheme="minorBidi"/>
          <w:noProof/>
          <w:sz w:val="22"/>
          <w:szCs w:val="22"/>
          <w:lang w:eastAsia="zh-TW" w:bidi="ar-SA"/>
        </w:rPr>
        <w:tab/>
      </w:r>
      <w:r w:rsidRPr="007275D4">
        <w:rPr>
          <w:noProof/>
        </w:rPr>
        <w:t>Järjestelmän toiminnot</w:t>
      </w:r>
      <w:r w:rsidRPr="007275D4">
        <w:rPr>
          <w:noProof/>
        </w:rPr>
        <w:tab/>
      </w:r>
      <w:r w:rsidRPr="007275D4">
        <w:rPr>
          <w:noProof/>
        </w:rPr>
        <w:fldChar w:fldCharType="begin"/>
      </w:r>
      <w:r w:rsidRPr="007275D4">
        <w:rPr>
          <w:noProof/>
        </w:rPr>
        <w:instrText xml:space="preserve"> PAGEREF _Toc386022851 \h </w:instrText>
      </w:r>
      <w:r w:rsidRPr="007275D4">
        <w:rPr>
          <w:noProof/>
        </w:rPr>
      </w:r>
      <w:r w:rsidRPr="007275D4">
        <w:rPr>
          <w:noProof/>
        </w:rPr>
        <w:fldChar w:fldCharType="separate"/>
      </w:r>
      <w:r w:rsidR="000826D8" w:rsidRPr="007275D4">
        <w:rPr>
          <w:noProof/>
        </w:rPr>
        <w:t>4</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3.3</w:t>
      </w:r>
      <w:r w:rsidRPr="007275D4">
        <w:rPr>
          <w:rFonts w:asciiTheme="minorHAnsi" w:eastAsiaTheme="minorEastAsia" w:hAnsiTheme="minorHAnsi" w:cstheme="minorBidi"/>
          <w:noProof/>
          <w:sz w:val="22"/>
          <w:szCs w:val="22"/>
          <w:lang w:eastAsia="zh-TW" w:bidi="ar-SA"/>
        </w:rPr>
        <w:tab/>
      </w:r>
      <w:r w:rsidRPr="007275D4">
        <w:rPr>
          <w:noProof/>
        </w:rPr>
        <w:t>Hyväksynnät ja säädöstenmukaisuus</w:t>
      </w:r>
      <w:r w:rsidRPr="007275D4">
        <w:rPr>
          <w:noProof/>
        </w:rPr>
        <w:tab/>
      </w:r>
      <w:r w:rsidRPr="007275D4">
        <w:rPr>
          <w:noProof/>
        </w:rPr>
        <w:fldChar w:fldCharType="begin"/>
      </w:r>
      <w:r w:rsidRPr="007275D4">
        <w:rPr>
          <w:noProof/>
        </w:rPr>
        <w:instrText xml:space="preserve"> PAGEREF _Toc386022852 \h </w:instrText>
      </w:r>
      <w:r w:rsidRPr="007275D4">
        <w:rPr>
          <w:noProof/>
        </w:rPr>
      </w:r>
      <w:r w:rsidRPr="007275D4">
        <w:rPr>
          <w:noProof/>
        </w:rPr>
        <w:fldChar w:fldCharType="separate"/>
      </w:r>
      <w:r w:rsidR="000826D8" w:rsidRPr="007275D4">
        <w:rPr>
          <w:noProof/>
        </w:rPr>
        <w:t>4</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3.4</w:t>
      </w:r>
      <w:r w:rsidRPr="007275D4">
        <w:rPr>
          <w:rFonts w:asciiTheme="minorHAnsi" w:eastAsiaTheme="minorEastAsia" w:hAnsiTheme="minorHAnsi" w:cstheme="minorBidi"/>
          <w:noProof/>
          <w:sz w:val="22"/>
          <w:szCs w:val="22"/>
          <w:lang w:eastAsia="zh-TW" w:bidi="ar-SA"/>
        </w:rPr>
        <w:tab/>
      </w:r>
      <w:r w:rsidRPr="007275D4">
        <w:rPr>
          <w:noProof/>
        </w:rPr>
        <w:t>Järjestelmän yhteensopivuus</w:t>
      </w:r>
      <w:r w:rsidRPr="007275D4">
        <w:rPr>
          <w:noProof/>
        </w:rPr>
        <w:tab/>
      </w:r>
      <w:r w:rsidRPr="007275D4">
        <w:rPr>
          <w:noProof/>
        </w:rPr>
        <w:fldChar w:fldCharType="begin"/>
      </w:r>
      <w:r w:rsidRPr="007275D4">
        <w:rPr>
          <w:noProof/>
        </w:rPr>
        <w:instrText xml:space="preserve"> PAGEREF _Toc386022853 \h </w:instrText>
      </w:r>
      <w:r w:rsidRPr="007275D4">
        <w:rPr>
          <w:noProof/>
        </w:rPr>
      </w:r>
      <w:r w:rsidRPr="007275D4">
        <w:rPr>
          <w:noProof/>
        </w:rPr>
        <w:fldChar w:fldCharType="separate"/>
      </w:r>
      <w:r w:rsidR="000826D8" w:rsidRPr="007275D4">
        <w:rPr>
          <w:noProof/>
        </w:rPr>
        <w:t>5</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3.5</w:t>
      </w:r>
      <w:r w:rsidRPr="007275D4">
        <w:rPr>
          <w:rFonts w:asciiTheme="minorHAnsi" w:eastAsiaTheme="minorEastAsia" w:hAnsiTheme="minorHAnsi" w:cstheme="minorBidi"/>
          <w:noProof/>
          <w:sz w:val="22"/>
          <w:szCs w:val="22"/>
          <w:lang w:eastAsia="zh-TW" w:bidi="ar-SA"/>
        </w:rPr>
        <w:tab/>
      </w:r>
      <w:r w:rsidRPr="007275D4">
        <w:rPr>
          <w:noProof/>
        </w:rPr>
        <w:t>Järjestelmän määritykset</w:t>
      </w:r>
      <w:r w:rsidRPr="007275D4">
        <w:rPr>
          <w:noProof/>
        </w:rPr>
        <w:tab/>
      </w:r>
      <w:r w:rsidRPr="007275D4">
        <w:rPr>
          <w:noProof/>
        </w:rPr>
        <w:fldChar w:fldCharType="begin"/>
      </w:r>
      <w:r w:rsidRPr="007275D4">
        <w:rPr>
          <w:noProof/>
        </w:rPr>
        <w:instrText xml:space="preserve"> PAGEREF _Toc386022854 \h </w:instrText>
      </w:r>
      <w:r w:rsidRPr="007275D4">
        <w:rPr>
          <w:noProof/>
        </w:rPr>
      </w:r>
      <w:r w:rsidRPr="007275D4">
        <w:rPr>
          <w:noProof/>
        </w:rPr>
        <w:fldChar w:fldCharType="separate"/>
      </w:r>
      <w:r w:rsidR="000826D8" w:rsidRPr="007275D4">
        <w:rPr>
          <w:noProof/>
        </w:rPr>
        <w:t>5</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3.6</w:t>
      </w:r>
      <w:r w:rsidRPr="007275D4">
        <w:rPr>
          <w:rFonts w:asciiTheme="minorHAnsi" w:eastAsiaTheme="minorEastAsia" w:hAnsiTheme="minorHAnsi" w:cstheme="minorBidi"/>
          <w:noProof/>
          <w:sz w:val="22"/>
          <w:szCs w:val="22"/>
          <w:lang w:eastAsia="zh-TW" w:bidi="ar-SA"/>
        </w:rPr>
        <w:tab/>
      </w:r>
      <w:r w:rsidRPr="007275D4">
        <w:rPr>
          <w:noProof/>
        </w:rPr>
        <w:t>Järjestelmän asentaminen ja liitännät</w:t>
      </w:r>
      <w:r w:rsidRPr="007275D4">
        <w:rPr>
          <w:noProof/>
        </w:rPr>
        <w:tab/>
      </w:r>
      <w:r w:rsidRPr="007275D4">
        <w:rPr>
          <w:noProof/>
        </w:rPr>
        <w:fldChar w:fldCharType="begin"/>
      </w:r>
      <w:r w:rsidRPr="007275D4">
        <w:rPr>
          <w:noProof/>
        </w:rPr>
        <w:instrText xml:space="preserve"> PAGEREF _Toc386022855 \h </w:instrText>
      </w:r>
      <w:r w:rsidRPr="007275D4">
        <w:rPr>
          <w:noProof/>
        </w:rPr>
      </w:r>
      <w:r w:rsidRPr="007275D4">
        <w:rPr>
          <w:noProof/>
        </w:rPr>
        <w:fldChar w:fldCharType="separate"/>
      </w:r>
      <w:r w:rsidR="000826D8" w:rsidRPr="007275D4">
        <w:rPr>
          <w:noProof/>
        </w:rPr>
        <w:t>6</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3.7</w:t>
      </w:r>
      <w:r w:rsidRPr="007275D4">
        <w:rPr>
          <w:rFonts w:asciiTheme="minorHAnsi" w:eastAsiaTheme="minorEastAsia" w:hAnsiTheme="minorHAnsi" w:cstheme="minorBidi"/>
          <w:noProof/>
          <w:sz w:val="22"/>
          <w:szCs w:val="22"/>
          <w:lang w:eastAsia="zh-TW" w:bidi="ar-SA"/>
        </w:rPr>
        <w:tab/>
      </w:r>
      <w:r w:rsidRPr="007275D4">
        <w:rPr>
          <w:noProof/>
        </w:rPr>
        <w:t>Järjestelmän toiminta</w:t>
      </w:r>
      <w:r w:rsidRPr="007275D4">
        <w:rPr>
          <w:noProof/>
        </w:rPr>
        <w:tab/>
      </w:r>
      <w:r w:rsidRPr="007275D4">
        <w:rPr>
          <w:noProof/>
        </w:rPr>
        <w:fldChar w:fldCharType="begin"/>
      </w:r>
      <w:r w:rsidRPr="007275D4">
        <w:rPr>
          <w:noProof/>
        </w:rPr>
        <w:instrText xml:space="preserve"> PAGEREF _Toc386022856 \h </w:instrText>
      </w:r>
      <w:r w:rsidRPr="007275D4">
        <w:rPr>
          <w:noProof/>
        </w:rPr>
      </w:r>
      <w:r w:rsidRPr="007275D4">
        <w:rPr>
          <w:noProof/>
        </w:rPr>
        <w:fldChar w:fldCharType="separate"/>
      </w:r>
      <w:r w:rsidR="000826D8" w:rsidRPr="007275D4">
        <w:rPr>
          <w:noProof/>
        </w:rPr>
        <w:t>6</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3.8</w:t>
      </w:r>
      <w:r w:rsidRPr="007275D4">
        <w:rPr>
          <w:rFonts w:asciiTheme="minorHAnsi" w:eastAsiaTheme="minorEastAsia" w:hAnsiTheme="minorHAnsi" w:cstheme="minorBidi"/>
          <w:noProof/>
          <w:sz w:val="22"/>
          <w:szCs w:val="22"/>
          <w:lang w:eastAsia="zh-TW" w:bidi="ar-SA"/>
        </w:rPr>
        <w:tab/>
      </w:r>
      <w:r w:rsidRPr="007275D4">
        <w:rPr>
          <w:noProof/>
        </w:rPr>
        <w:t>Järjestelmän paikallinen kunnossapito</w:t>
      </w:r>
      <w:r w:rsidRPr="007275D4">
        <w:rPr>
          <w:noProof/>
        </w:rPr>
        <w:tab/>
      </w:r>
      <w:r w:rsidRPr="007275D4">
        <w:rPr>
          <w:noProof/>
        </w:rPr>
        <w:fldChar w:fldCharType="begin"/>
      </w:r>
      <w:r w:rsidRPr="007275D4">
        <w:rPr>
          <w:noProof/>
        </w:rPr>
        <w:instrText xml:space="preserve"> PAGEREF _Toc386022857 \h </w:instrText>
      </w:r>
      <w:r w:rsidRPr="007275D4">
        <w:rPr>
          <w:noProof/>
        </w:rPr>
      </w:r>
      <w:r w:rsidRPr="007275D4">
        <w:rPr>
          <w:noProof/>
        </w:rPr>
        <w:fldChar w:fldCharType="separate"/>
      </w:r>
      <w:r w:rsidR="000826D8" w:rsidRPr="007275D4">
        <w:rPr>
          <w:noProof/>
        </w:rPr>
        <w:t>6</w:t>
      </w:r>
      <w:r w:rsidRPr="007275D4">
        <w:rPr>
          <w:noProof/>
        </w:rPr>
        <w:fldChar w:fldCharType="end"/>
      </w:r>
    </w:p>
    <w:p w:rsidR="00310184" w:rsidRPr="007275D4" w:rsidRDefault="00310184">
      <w:pPr>
        <w:pStyle w:val="TOC1"/>
        <w:rPr>
          <w:rFonts w:asciiTheme="minorHAnsi" w:eastAsiaTheme="minorEastAsia" w:hAnsiTheme="minorHAnsi" w:cstheme="minorBidi"/>
          <w:b w:val="0"/>
          <w:noProof/>
          <w:sz w:val="22"/>
          <w:szCs w:val="22"/>
          <w:lang w:eastAsia="zh-TW" w:bidi="ar-SA"/>
        </w:rPr>
      </w:pPr>
      <w:r w:rsidRPr="007275D4">
        <w:rPr>
          <w:rFonts w:ascii="AkzidenzGroteskBQ" w:hAnsi="AkzidenzGroteskBQ" w:cs="AkzidenzGroteskBQ"/>
          <w:noProof/>
        </w:rPr>
        <w:t>4</w:t>
      </w:r>
      <w:r w:rsidRPr="007275D4">
        <w:rPr>
          <w:rFonts w:asciiTheme="minorHAnsi" w:eastAsiaTheme="minorEastAsia" w:hAnsiTheme="minorHAnsi" w:cstheme="minorBidi"/>
          <w:b w:val="0"/>
          <w:noProof/>
          <w:sz w:val="22"/>
          <w:szCs w:val="22"/>
          <w:lang w:eastAsia="zh-TW" w:bidi="ar-SA"/>
        </w:rPr>
        <w:tab/>
      </w:r>
      <w:r w:rsidRPr="007275D4">
        <w:rPr>
          <w:noProof/>
        </w:rPr>
        <w:t>Tekniset tiedot</w:t>
      </w:r>
      <w:r w:rsidRPr="007275D4">
        <w:rPr>
          <w:noProof/>
        </w:rPr>
        <w:tab/>
      </w:r>
      <w:r w:rsidRPr="007275D4">
        <w:rPr>
          <w:noProof/>
        </w:rPr>
        <w:fldChar w:fldCharType="begin"/>
      </w:r>
      <w:r w:rsidRPr="007275D4">
        <w:rPr>
          <w:noProof/>
        </w:rPr>
        <w:instrText xml:space="preserve"> PAGEREF _Toc386022858 \h </w:instrText>
      </w:r>
      <w:r w:rsidRPr="007275D4">
        <w:rPr>
          <w:noProof/>
        </w:rPr>
      </w:r>
      <w:r w:rsidRPr="007275D4">
        <w:rPr>
          <w:noProof/>
        </w:rPr>
        <w:fldChar w:fldCharType="separate"/>
      </w:r>
      <w:r w:rsidR="000826D8" w:rsidRPr="007275D4">
        <w:rPr>
          <w:noProof/>
        </w:rPr>
        <w:t>7</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4.1</w:t>
      </w:r>
      <w:r w:rsidRPr="007275D4">
        <w:rPr>
          <w:rFonts w:asciiTheme="minorHAnsi" w:eastAsiaTheme="minorEastAsia" w:hAnsiTheme="minorHAnsi" w:cstheme="minorBidi"/>
          <w:noProof/>
          <w:sz w:val="22"/>
          <w:szCs w:val="22"/>
          <w:lang w:eastAsia="zh-TW" w:bidi="ar-SA"/>
        </w:rPr>
        <w:tab/>
      </w:r>
      <w:r w:rsidRPr="007275D4">
        <w:rPr>
          <w:noProof/>
        </w:rPr>
        <w:t>Päälaite</w:t>
      </w:r>
      <w:r w:rsidRPr="007275D4">
        <w:rPr>
          <w:noProof/>
        </w:rPr>
        <w:tab/>
      </w:r>
      <w:r w:rsidRPr="007275D4">
        <w:rPr>
          <w:noProof/>
        </w:rPr>
        <w:fldChar w:fldCharType="begin"/>
      </w:r>
      <w:r w:rsidRPr="007275D4">
        <w:rPr>
          <w:noProof/>
        </w:rPr>
        <w:instrText xml:space="preserve"> PAGEREF _Toc386022859 \h </w:instrText>
      </w:r>
      <w:r w:rsidRPr="007275D4">
        <w:rPr>
          <w:noProof/>
        </w:rPr>
      </w:r>
      <w:r w:rsidRPr="007275D4">
        <w:rPr>
          <w:noProof/>
        </w:rPr>
        <w:fldChar w:fldCharType="separate"/>
      </w:r>
      <w:r w:rsidR="000826D8" w:rsidRPr="007275D4">
        <w:rPr>
          <w:noProof/>
        </w:rPr>
        <w:t>7</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4.2</w:t>
      </w:r>
      <w:r w:rsidRPr="007275D4">
        <w:rPr>
          <w:rFonts w:asciiTheme="minorHAnsi" w:eastAsiaTheme="minorEastAsia" w:hAnsiTheme="minorHAnsi" w:cstheme="minorBidi"/>
          <w:noProof/>
          <w:sz w:val="22"/>
          <w:szCs w:val="22"/>
          <w:lang w:eastAsia="zh-TW" w:bidi="ar-SA"/>
        </w:rPr>
        <w:tab/>
      </w:r>
      <w:r w:rsidRPr="007275D4">
        <w:rPr>
          <w:noProof/>
        </w:rPr>
        <w:t>Eristinpiiri</w:t>
      </w:r>
      <w:r w:rsidRPr="007275D4">
        <w:rPr>
          <w:noProof/>
        </w:rPr>
        <w:tab/>
      </w:r>
      <w:r w:rsidRPr="007275D4">
        <w:rPr>
          <w:noProof/>
        </w:rPr>
        <w:fldChar w:fldCharType="begin"/>
      </w:r>
      <w:r w:rsidRPr="007275D4">
        <w:rPr>
          <w:noProof/>
        </w:rPr>
        <w:instrText xml:space="preserve"> PAGEREF _Toc386022860 \h </w:instrText>
      </w:r>
      <w:r w:rsidRPr="007275D4">
        <w:rPr>
          <w:noProof/>
        </w:rPr>
      </w:r>
      <w:r w:rsidRPr="007275D4">
        <w:rPr>
          <w:noProof/>
        </w:rPr>
        <w:fldChar w:fldCharType="separate"/>
      </w:r>
      <w:r w:rsidR="000826D8" w:rsidRPr="007275D4">
        <w:rPr>
          <w:noProof/>
        </w:rPr>
        <w:t>8</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4.3</w:t>
      </w:r>
      <w:r w:rsidRPr="007275D4">
        <w:rPr>
          <w:rFonts w:asciiTheme="minorHAnsi" w:eastAsiaTheme="minorEastAsia" w:hAnsiTheme="minorHAnsi" w:cstheme="minorBidi"/>
          <w:noProof/>
          <w:sz w:val="22"/>
          <w:szCs w:val="22"/>
          <w:lang w:eastAsia="zh-TW" w:bidi="ar-SA"/>
        </w:rPr>
        <w:tab/>
      </w:r>
      <w:r w:rsidRPr="007275D4">
        <w:rPr>
          <w:noProof/>
        </w:rPr>
        <w:t>Linjapäätevastus</w:t>
      </w:r>
      <w:r w:rsidRPr="007275D4">
        <w:rPr>
          <w:noProof/>
        </w:rPr>
        <w:tab/>
      </w:r>
      <w:r w:rsidRPr="007275D4">
        <w:rPr>
          <w:noProof/>
        </w:rPr>
        <w:fldChar w:fldCharType="begin"/>
      </w:r>
      <w:r w:rsidRPr="007275D4">
        <w:rPr>
          <w:noProof/>
        </w:rPr>
        <w:instrText xml:space="preserve"> PAGEREF _Toc386022861 \h </w:instrText>
      </w:r>
      <w:r w:rsidRPr="007275D4">
        <w:rPr>
          <w:noProof/>
        </w:rPr>
      </w:r>
      <w:r w:rsidRPr="007275D4">
        <w:rPr>
          <w:noProof/>
        </w:rPr>
        <w:fldChar w:fldCharType="separate"/>
      </w:r>
      <w:r w:rsidR="000826D8" w:rsidRPr="007275D4">
        <w:rPr>
          <w:noProof/>
        </w:rPr>
        <w:t>8</w:t>
      </w:r>
      <w:r w:rsidRPr="007275D4">
        <w:rPr>
          <w:noProof/>
        </w:rPr>
        <w:fldChar w:fldCharType="end"/>
      </w:r>
    </w:p>
    <w:p w:rsidR="00310184" w:rsidRPr="007275D4" w:rsidRDefault="00310184">
      <w:pPr>
        <w:pStyle w:val="TOC2"/>
        <w:rPr>
          <w:rFonts w:asciiTheme="minorHAnsi" w:eastAsiaTheme="minorEastAsia" w:hAnsiTheme="minorHAnsi" w:cstheme="minorBidi"/>
          <w:noProof/>
          <w:sz w:val="22"/>
          <w:szCs w:val="22"/>
          <w:lang w:eastAsia="zh-TW" w:bidi="ar-SA"/>
        </w:rPr>
      </w:pPr>
      <w:r w:rsidRPr="007275D4">
        <w:rPr>
          <w:rFonts w:ascii="AkzidenzGroteskBQ" w:hAnsi="AkzidenzGroteskBQ" w:cs="AkzidenzGroteskBQ"/>
          <w:noProof/>
        </w:rPr>
        <w:t>4.4</w:t>
      </w:r>
      <w:r w:rsidRPr="007275D4">
        <w:rPr>
          <w:rFonts w:asciiTheme="minorHAnsi" w:eastAsiaTheme="minorEastAsia" w:hAnsiTheme="minorHAnsi" w:cstheme="minorBidi"/>
          <w:noProof/>
          <w:sz w:val="22"/>
          <w:szCs w:val="22"/>
          <w:lang w:eastAsia="zh-TW" w:bidi="ar-SA"/>
        </w:rPr>
        <w:tab/>
      </w:r>
      <w:r w:rsidRPr="007275D4">
        <w:rPr>
          <w:noProof/>
        </w:rPr>
        <w:t>DC-estopiiri</w:t>
      </w:r>
      <w:r w:rsidRPr="007275D4">
        <w:rPr>
          <w:noProof/>
        </w:rPr>
        <w:tab/>
      </w:r>
      <w:r w:rsidRPr="007275D4">
        <w:rPr>
          <w:noProof/>
        </w:rPr>
        <w:fldChar w:fldCharType="begin"/>
      </w:r>
      <w:r w:rsidRPr="007275D4">
        <w:rPr>
          <w:noProof/>
        </w:rPr>
        <w:instrText xml:space="preserve"> PAGEREF _Toc386022862 \h </w:instrText>
      </w:r>
      <w:r w:rsidRPr="007275D4">
        <w:rPr>
          <w:noProof/>
        </w:rPr>
      </w:r>
      <w:r w:rsidRPr="007275D4">
        <w:rPr>
          <w:noProof/>
        </w:rPr>
        <w:fldChar w:fldCharType="separate"/>
      </w:r>
      <w:r w:rsidR="000826D8" w:rsidRPr="007275D4">
        <w:rPr>
          <w:noProof/>
        </w:rPr>
        <w:t>8</w:t>
      </w:r>
      <w:r w:rsidRPr="007275D4">
        <w:rPr>
          <w:noProof/>
        </w:rPr>
        <w:fldChar w:fldCharType="end"/>
      </w:r>
    </w:p>
    <w:p w:rsidR="003F3B3C" w:rsidRPr="007275D4" w:rsidRDefault="00495EEA">
      <w:pPr>
        <w:pStyle w:val="TOC1"/>
        <w:tabs>
          <w:tab w:val="right" w:leader="dot" w:pos="9524"/>
        </w:tabs>
        <w:sectPr w:rsidR="003F3B3C" w:rsidRPr="007275D4">
          <w:type w:val="continuous"/>
          <w:pgSz w:w="11906" w:h="16838"/>
          <w:pgMar w:top="1372" w:right="1191" w:bottom="1361" w:left="1191" w:header="567" w:footer="584" w:gutter="0"/>
          <w:cols w:space="720"/>
          <w:docGrid w:linePitch="360"/>
        </w:sectPr>
      </w:pPr>
      <w:r w:rsidRPr="007275D4">
        <w:fldChar w:fldCharType="end"/>
      </w:r>
    </w:p>
    <w:p w:rsidR="003F3B3C" w:rsidRPr="007275D4" w:rsidRDefault="003F3B3C">
      <w:pPr>
        <w:tabs>
          <w:tab w:val="left" w:pos="567"/>
          <w:tab w:val="left" w:pos="600"/>
          <w:tab w:val="right" w:leader="dot" w:pos="4616"/>
          <w:tab w:val="right" w:leader="dot" w:pos="9524"/>
        </w:tabs>
        <w:rPr>
          <w:rFonts w:ascii="Arial" w:hAnsi="Arial" w:cs="Arial"/>
          <w:b/>
        </w:rPr>
      </w:pPr>
    </w:p>
    <w:p w:rsidR="00473962" w:rsidRPr="007275D4" w:rsidRDefault="006506BD" w:rsidP="006506BD">
      <w:pPr>
        <w:pStyle w:val="Heading1"/>
        <w:pageBreakBefore/>
      </w:pPr>
      <w:bookmarkStart w:id="2" w:name="__RefHeading__7_768757415"/>
      <w:bookmarkStart w:id="3" w:name="_Toc386022847"/>
      <w:bookmarkEnd w:id="2"/>
      <w:r w:rsidRPr="007275D4">
        <w:lastRenderedPageBreak/>
        <w:t>Johdanto</w:t>
      </w:r>
      <w:bookmarkEnd w:id="3"/>
    </w:p>
    <w:p w:rsidR="003F3B3C" w:rsidRPr="007275D4" w:rsidRDefault="00CB4459">
      <w:pPr>
        <w:rPr>
          <w:spacing w:val="-4"/>
        </w:rPr>
      </w:pPr>
      <w:r w:rsidRPr="007275D4">
        <w:rPr>
          <w:spacing w:val="-4"/>
        </w:rPr>
        <w:t>Kaiuttimien linjaeristinjärjestelmä on edullinen tapa varmistaa yleisäänentoisto- tai äänievakuointijärjestelmän toiminta tulipalon tai muun onnettomuuden sattuessa. Järjestelmän päätarkoituksena on estää kaiutinlinjan vioista johtuvat äänentoiston toimintahäiriöt.</w:t>
      </w:r>
    </w:p>
    <w:p w:rsidR="00621324" w:rsidRPr="007275D4" w:rsidRDefault="00621324"/>
    <w:p w:rsidR="00621324" w:rsidRPr="007275D4" w:rsidRDefault="00621324" w:rsidP="00621324">
      <w:r w:rsidRPr="007275D4">
        <w:t>Järjestelmän silmukkajohdotuksen ansiosta kalliita E30-kaapelointeja ei tarvita. Täydellisen valvonnan ansiosta järjestelmä voidaan mukauttaa yleisäänentoisto- ja äänievakuointijärjestelmän tarpeisiin.</w:t>
      </w:r>
    </w:p>
    <w:p w:rsidR="00621324" w:rsidRPr="007275D4" w:rsidRDefault="00621324" w:rsidP="00621324"/>
    <w:p w:rsidR="00621324" w:rsidRPr="007275D4" w:rsidRDefault="00621324" w:rsidP="00621324">
      <w:r w:rsidRPr="007275D4">
        <w:t>Mahdollisia käyttösovelluksia ovat seuraavat:</w:t>
      </w:r>
    </w:p>
    <w:p w:rsidR="00621324" w:rsidRPr="007275D4" w:rsidRDefault="00621324" w:rsidP="00A727AA">
      <w:pPr>
        <w:pStyle w:val="ListParagraph"/>
        <w:numPr>
          <w:ilvl w:val="0"/>
          <w:numId w:val="13"/>
        </w:numPr>
      </w:pPr>
      <w:r w:rsidRPr="007275D4">
        <w:t>Suuria vyöhykkeitä kattavat yleisäänentoistojärjestelmät eli vyöhykkeet, joissa on yli 25 kaiutinta</w:t>
      </w:r>
    </w:p>
    <w:p w:rsidR="00621324" w:rsidRPr="007275D4" w:rsidRDefault="00621324" w:rsidP="00A727AA">
      <w:pPr>
        <w:pStyle w:val="ListParagraph"/>
        <w:numPr>
          <w:ilvl w:val="0"/>
          <w:numId w:val="13"/>
        </w:numPr>
      </w:pPr>
      <w:r w:rsidRPr="007275D4">
        <w:t>Äänievakuointi: kohteet, joissa on useita huoneita samalla paloilmaisinvyöhykkeellä</w:t>
      </w:r>
    </w:p>
    <w:p w:rsidR="003F3B3C" w:rsidRPr="007275D4" w:rsidRDefault="0048342F">
      <w:pPr>
        <w:pStyle w:val="Heading1"/>
      </w:pPr>
      <w:bookmarkStart w:id="4" w:name="__RefHeading__9_768757415"/>
      <w:bookmarkStart w:id="5" w:name="_Toc386022848"/>
      <w:bookmarkEnd w:id="4"/>
      <w:r w:rsidRPr="007275D4">
        <w:t>Teknisten tietojen kattavuus</w:t>
      </w:r>
      <w:bookmarkEnd w:id="5"/>
    </w:p>
    <w:p w:rsidR="00FE3769" w:rsidRPr="007275D4" w:rsidRDefault="0048342F">
      <w:r w:rsidRPr="007275D4">
        <w:t>Nämä tekniset tiedot kattavat kaiuttimien linjaeristinjärjestelmän toimituksen, asennuksen ja kunnossapidon.</w:t>
      </w:r>
    </w:p>
    <w:p w:rsidR="003F3B3C" w:rsidRPr="007275D4" w:rsidRDefault="0048342F">
      <w:pPr>
        <w:pStyle w:val="Heading1"/>
      </w:pPr>
      <w:bookmarkStart w:id="6" w:name="__RefHeading__11_768757415"/>
      <w:bookmarkStart w:id="7" w:name="_Toc386022849"/>
      <w:bookmarkEnd w:id="6"/>
      <w:r w:rsidRPr="007275D4">
        <w:t>Järjestelmän yhteenveto</w:t>
      </w:r>
      <w:bookmarkEnd w:id="7"/>
    </w:p>
    <w:p w:rsidR="003F3B3C" w:rsidRPr="007275D4" w:rsidRDefault="0048342F">
      <w:pPr>
        <w:pStyle w:val="Heading2"/>
      </w:pPr>
      <w:bookmarkStart w:id="8" w:name="__RefHeading__13_768757415"/>
      <w:bookmarkStart w:id="9" w:name="_Toc386022850"/>
      <w:bookmarkEnd w:id="8"/>
      <w:r w:rsidRPr="007275D4">
        <w:t>Järjestelmän yleistiedot</w:t>
      </w:r>
      <w:bookmarkEnd w:id="9"/>
    </w:p>
    <w:p w:rsidR="00621324" w:rsidRPr="007275D4" w:rsidRDefault="00621324">
      <w:r w:rsidRPr="007275D4">
        <w:t>Kaiuttimien linjaeristinjärjestelmä koostuu päälaitteesta, eristinpiireistä ja DC-estopiireistä.</w:t>
      </w:r>
    </w:p>
    <w:p w:rsidR="00C85DDD" w:rsidRPr="007275D4" w:rsidRDefault="00C85DDD"/>
    <w:p w:rsidR="004D1FC6" w:rsidRPr="007275D4" w:rsidRDefault="00C85DDD" w:rsidP="004D1FC6">
      <w:pPr>
        <w:rPr>
          <w:spacing w:val="-2"/>
        </w:rPr>
      </w:pPr>
      <w:r w:rsidRPr="007275D4">
        <w:rPr>
          <w:spacing w:val="-2"/>
        </w:rPr>
        <w:t>Yleisäänentoisto- ja äänievakuointijärjestelmien vyöhykkeen lähdöt yhdistetään päälaitteeseen, joka hallitsee yhteensä kuutta 500 watin kaiutinsilmukkaa. Eristinpiirit on ketjutettu kaiutinsilmukkaan, ja ne jakavat äänen yleisäänentoisto-/äänievakuointijärjestelmästä kaiuttimiin.</w:t>
      </w:r>
    </w:p>
    <w:p w:rsidR="00C85DDD" w:rsidRPr="007275D4" w:rsidRDefault="00C85DDD"/>
    <w:p w:rsidR="00C85DDD" w:rsidRPr="007275D4" w:rsidRDefault="00C85DDD">
      <w:r w:rsidRPr="007275D4">
        <w:t>Päälaitteen etupaneelin merkkivalot ilmoittavat kunkin silmukan tilan. Etupaneelissa on merkkivalo myös verkkovirran ja varavirtalähteen tiloille. Kaikki etupaneelin vikamerkkivalot on linkitetty päälaitteen takapaneelin vikavirtareleisiin.</w:t>
      </w:r>
    </w:p>
    <w:p w:rsidR="004D1FC6" w:rsidRPr="007275D4" w:rsidRDefault="004D1FC6" w:rsidP="004D1FC6">
      <w:pPr>
        <w:rPr>
          <w:spacing w:val="-4"/>
        </w:rPr>
      </w:pPr>
      <w:r w:rsidRPr="007275D4">
        <w:rPr>
          <w:spacing w:val="-4"/>
        </w:rPr>
        <w:t>Takapaneelissa on liitännät, jännitevalitsin, päävirtakytkin ja DIP-kytkimet asennus- ja testikäyttöön.</w:t>
      </w:r>
    </w:p>
    <w:p w:rsidR="00473962" w:rsidRPr="007275D4" w:rsidRDefault="00473962"/>
    <w:p w:rsidR="00473962" w:rsidRPr="007275D4" w:rsidRDefault="00473962">
      <w:r w:rsidRPr="007275D4">
        <w:rPr>
          <w:spacing w:val="-2"/>
        </w:rPr>
        <w:t>Eristinpiirissä on kaksi 100 V:n ääniliitäntää, joihin voidaan liittää kaiutinsilmukan molemmat puolet, ja yksi 100 V:n ääniliitäntä välioton luomista varten yhdelle tai useammalle kaiuttimelle. Hyppykytkimen asetuksilla voidaan määrittää kaiuttimen sallitun tehon taso</w:t>
      </w:r>
      <w:r w:rsidRPr="007275D4">
        <w:t xml:space="preserve"> (10, 36, 100 W tai 10 W 20 kHz:n ohjausäänensuodattimella) ja muut valvonta-asetukset.</w:t>
      </w:r>
    </w:p>
    <w:p w:rsidR="00473962" w:rsidRPr="007275D4" w:rsidRDefault="00473962"/>
    <w:p w:rsidR="00473962" w:rsidRPr="007275D4" w:rsidRDefault="00473962">
      <w:r w:rsidRPr="007275D4">
        <w:t>Eristinpiirissä on testi-/vikamerkkivalo. Eristinpiiri kiinnitetään punaiseen IP30</w:t>
      </w:r>
      <w:r w:rsidRPr="007275D4">
        <w:rPr>
          <w:rFonts w:ascii="MS Mincho" w:hAnsi="MS Mincho" w:cs="MS Mincho"/>
        </w:rPr>
        <w:t>-</w:t>
      </w:r>
      <w:r w:rsidRPr="007275D4">
        <w:t>luokitettuun koteloon. Merkkivalo on näkyvissä, kun piirilevy on asennettu koteloon, jolloin järjestelmän vianhaku on helppoa.</w:t>
      </w:r>
    </w:p>
    <w:p w:rsidR="00473962" w:rsidRPr="007275D4" w:rsidRDefault="00473962"/>
    <w:p w:rsidR="00473962" w:rsidRPr="007275D4" w:rsidRDefault="00473962">
      <w:pPr>
        <w:rPr>
          <w:spacing w:val="-2"/>
        </w:rPr>
      </w:pPr>
      <w:r w:rsidRPr="007275D4">
        <w:rPr>
          <w:spacing w:val="-2"/>
        </w:rPr>
        <w:t>DC-estopiiri estää tasavirran ja suojaa ylikuormitukselta virtaa rajoittamalla. Siinä on samat liitännät kuin eristinpiirissä, joten kaiutinsilmukan ja väliottoliitäntöjen yhdistäminen on helppoa ja nopeaa (kaiuttimen 10 W:n kuormituksella).</w:t>
      </w:r>
    </w:p>
    <w:p w:rsidR="003F3B3C" w:rsidRPr="007275D4" w:rsidRDefault="0048342F">
      <w:pPr>
        <w:pStyle w:val="Heading2"/>
      </w:pPr>
      <w:bookmarkStart w:id="10" w:name="__RefHeading__15_768757415"/>
      <w:bookmarkStart w:id="11" w:name="_Toc386022851"/>
      <w:bookmarkEnd w:id="10"/>
      <w:r w:rsidRPr="007275D4">
        <w:t>Järjestelmän toiminnot</w:t>
      </w:r>
      <w:bookmarkEnd w:id="11"/>
    </w:p>
    <w:p w:rsidR="00C56AE3" w:rsidRPr="007275D4" w:rsidRDefault="00C56AE3" w:rsidP="004D1FC6">
      <w:r w:rsidRPr="007275D4">
        <w:t>Päälaite valvoo kaiutinsilmukkaa silmukkavikojen varalta ja näyttää tiedot etupaneelissa.</w:t>
      </w:r>
    </w:p>
    <w:p w:rsidR="00C56AE3" w:rsidRPr="007275D4" w:rsidRDefault="00C56AE3" w:rsidP="004D1FC6"/>
    <w:p w:rsidR="004D1FC6" w:rsidRPr="007275D4" w:rsidRDefault="004D1FC6" w:rsidP="004D1FC6">
      <w:r w:rsidRPr="007275D4">
        <w:t>Eristinpiirien päätarkoitus on</w:t>
      </w:r>
    </w:p>
    <w:p w:rsidR="004D1FC6" w:rsidRPr="007275D4" w:rsidRDefault="004D1FC6" w:rsidP="00A727AA">
      <w:pPr>
        <w:pStyle w:val="ListParagraph"/>
        <w:numPr>
          <w:ilvl w:val="0"/>
          <w:numId w:val="15"/>
        </w:numPr>
      </w:pPr>
      <w:r w:rsidRPr="007275D4">
        <w:t>havaita ja eristää viereisen osan oikosulut</w:t>
      </w:r>
    </w:p>
    <w:p w:rsidR="004D1FC6" w:rsidRPr="007275D4" w:rsidRDefault="004D1FC6" w:rsidP="00A727AA">
      <w:pPr>
        <w:pStyle w:val="ListParagraph"/>
        <w:numPr>
          <w:ilvl w:val="0"/>
          <w:numId w:val="15"/>
        </w:numPr>
      </w:pPr>
      <w:r w:rsidRPr="007275D4">
        <w:t>havaita ja eristää avoimet virtapiirit, oikosulut ja väliottojen ylikuormitukset.</w:t>
      </w:r>
    </w:p>
    <w:p w:rsidR="003F3B3C" w:rsidRPr="007275D4" w:rsidRDefault="00A727AA">
      <w:pPr>
        <w:pStyle w:val="Heading2"/>
      </w:pPr>
      <w:bookmarkStart w:id="12" w:name="__RefHeading__17_768757415"/>
      <w:bookmarkStart w:id="13" w:name="_Toc386022852"/>
      <w:bookmarkEnd w:id="12"/>
      <w:r w:rsidRPr="007275D4">
        <w:t>Hyväksynnät ja säädöstenmukaisuus</w:t>
      </w:r>
      <w:bookmarkEnd w:id="13"/>
    </w:p>
    <w:p w:rsidR="004D1FC6" w:rsidRPr="007275D4" w:rsidRDefault="0048342F">
      <w:r w:rsidRPr="007275D4">
        <w:t>Kaiuttimien linjaeristinjärjestelmä on kaikkien tämäntyyppisiin laitteisiin sovellettavien säädösten ja standardien mukainen. Järjestelmää koskevat erityisesti seuraavat hyväksynnät ja säädöstenmukaisuus:</w:t>
      </w:r>
    </w:p>
    <w:p w:rsidR="00A727AA" w:rsidRPr="007275D4" w:rsidRDefault="00A727AA"/>
    <w:p w:rsidR="00A727AA" w:rsidRPr="007275D4" w:rsidRDefault="00A727AA">
      <w:pPr>
        <w:rPr>
          <w:b/>
        </w:rPr>
      </w:pPr>
      <w:r w:rsidRPr="007275D4">
        <w:rPr>
          <w:b/>
        </w:rPr>
        <w:t>Hyväksynnät</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Turvallisuus</w:t>
            </w:r>
          </w:p>
        </w:tc>
        <w:tc>
          <w:tcPr>
            <w:tcW w:w="2268" w:type="dxa"/>
            <w:shd w:val="pct10" w:color="auto" w:fill="auto"/>
            <w:tcMar>
              <w:left w:w="0" w:type="dxa"/>
              <w:right w:w="0" w:type="dxa"/>
            </w:tcMar>
          </w:tcPr>
          <w:p w:rsidR="00A727AA" w:rsidRPr="007275D4" w:rsidRDefault="006442CA" w:rsidP="00A727AA">
            <w:pPr>
              <w:spacing w:after="120"/>
              <w:rPr>
                <w:rFonts w:eastAsia="Arial Unicode MS"/>
                <w:lang w:eastAsia="en-US"/>
              </w:rPr>
            </w:pPr>
            <w:r w:rsidRPr="007275D4">
              <w:t>Standardin EN 60065 mukainen</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 xml:space="preserve">Emissio </w:t>
            </w:r>
          </w:p>
        </w:tc>
        <w:tc>
          <w:tcPr>
            <w:tcW w:w="2268" w:type="dxa"/>
            <w:shd w:val="pct10" w:color="auto" w:fill="auto"/>
            <w:tcMar>
              <w:left w:w="0" w:type="dxa"/>
              <w:right w:w="0" w:type="dxa"/>
            </w:tcMar>
          </w:tcPr>
          <w:p w:rsidR="00A727AA" w:rsidRPr="007275D4" w:rsidRDefault="006442CA" w:rsidP="00A727AA">
            <w:pPr>
              <w:spacing w:after="120"/>
              <w:rPr>
                <w:rFonts w:eastAsia="Arial Unicode MS"/>
                <w:lang w:eastAsia="en-US"/>
              </w:rPr>
            </w:pPr>
            <w:r w:rsidRPr="007275D4">
              <w:t>Standardin EN 55103</w:t>
            </w:r>
            <w:r w:rsidR="00A727AA" w:rsidRPr="007275D4">
              <w:rPr>
                <w:rFonts w:eastAsia="Arial Unicode MS"/>
                <w:lang w:eastAsia="en-US"/>
              </w:rPr>
              <w:noBreakHyphen/>
            </w:r>
            <w:r w:rsidRPr="007275D4">
              <w:t>1 mukainen</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Immuniteetti</w:t>
            </w:r>
          </w:p>
        </w:tc>
        <w:tc>
          <w:tcPr>
            <w:tcW w:w="2268" w:type="dxa"/>
            <w:shd w:val="pct10" w:color="auto" w:fill="auto"/>
            <w:tcMar>
              <w:left w:w="0" w:type="dxa"/>
              <w:right w:w="0" w:type="dxa"/>
            </w:tcMar>
          </w:tcPr>
          <w:p w:rsidR="00A727AA" w:rsidRPr="007275D4" w:rsidRDefault="006442CA" w:rsidP="00A727AA">
            <w:pPr>
              <w:spacing w:after="120"/>
              <w:rPr>
                <w:rFonts w:eastAsia="Arial Unicode MS"/>
                <w:lang w:eastAsia="en-US"/>
              </w:rPr>
            </w:pPr>
            <w:r w:rsidRPr="007275D4">
              <w:t>Standardin EN 55103</w:t>
            </w:r>
            <w:r w:rsidR="00A727AA" w:rsidRPr="007275D4">
              <w:rPr>
                <w:rFonts w:eastAsia="Arial Unicode MS"/>
                <w:lang w:eastAsia="en-US"/>
              </w:rPr>
              <w:noBreakHyphen/>
            </w:r>
            <w:r w:rsidRPr="007275D4">
              <w:t>2 ja EN 50130</w:t>
            </w:r>
            <w:r w:rsidR="00A727AA" w:rsidRPr="007275D4">
              <w:rPr>
                <w:rFonts w:eastAsia="Arial Unicode MS"/>
                <w:lang w:eastAsia="en-US"/>
              </w:rPr>
              <w:noBreakHyphen/>
            </w:r>
            <w:r w:rsidRPr="007275D4">
              <w:t>4 mukainen</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Merenkulku</w:t>
            </w:r>
          </w:p>
        </w:tc>
        <w:tc>
          <w:tcPr>
            <w:tcW w:w="2268" w:type="dxa"/>
            <w:shd w:val="pct10" w:color="auto" w:fill="auto"/>
            <w:tcMar>
              <w:left w:w="0" w:type="dxa"/>
              <w:right w:w="0" w:type="dxa"/>
            </w:tcMar>
          </w:tcPr>
          <w:p w:rsidR="00A727AA" w:rsidRPr="007275D4" w:rsidRDefault="006442CA" w:rsidP="00A727AA">
            <w:pPr>
              <w:spacing w:after="120"/>
              <w:rPr>
                <w:rFonts w:eastAsia="Arial Unicode MS"/>
                <w:lang w:eastAsia="en-US"/>
              </w:rPr>
            </w:pPr>
            <w:r w:rsidRPr="007275D4">
              <w:t>Standardin EN 60945 mukainen</w:t>
            </w:r>
          </w:p>
        </w:tc>
      </w:tr>
      <w:tr w:rsidR="006442CA" w:rsidRPr="007275D4" w:rsidTr="003C225F">
        <w:tc>
          <w:tcPr>
            <w:tcW w:w="2154" w:type="dxa"/>
            <w:shd w:val="clear" w:color="auto" w:fill="auto"/>
            <w:tcMar>
              <w:left w:w="0" w:type="dxa"/>
              <w:right w:w="0" w:type="dxa"/>
            </w:tcMar>
          </w:tcPr>
          <w:p w:rsidR="006442CA" w:rsidRPr="007275D4" w:rsidRDefault="006442CA" w:rsidP="00A727AA">
            <w:pPr>
              <w:spacing w:after="120"/>
              <w:rPr>
                <w:rFonts w:eastAsia="Arial Unicode MS"/>
                <w:lang w:eastAsia="en-US"/>
              </w:rPr>
            </w:pPr>
            <w:r w:rsidRPr="007275D4">
              <w:t>Evakuointi</w:t>
            </w:r>
          </w:p>
        </w:tc>
        <w:tc>
          <w:tcPr>
            <w:tcW w:w="2268" w:type="dxa"/>
            <w:shd w:val="pct10" w:color="auto" w:fill="auto"/>
            <w:tcMar>
              <w:left w:w="0" w:type="dxa"/>
              <w:right w:w="0" w:type="dxa"/>
            </w:tcMar>
          </w:tcPr>
          <w:p w:rsidR="006442CA" w:rsidRPr="007275D4" w:rsidRDefault="006442CA" w:rsidP="00A727AA">
            <w:pPr>
              <w:spacing w:after="120"/>
              <w:rPr>
                <w:rFonts w:eastAsia="Arial Unicode MS"/>
                <w:lang w:eastAsia="en-US"/>
              </w:rPr>
            </w:pPr>
            <w:r w:rsidRPr="007275D4">
              <w:t>Standardin EN 54</w:t>
            </w:r>
            <w:r w:rsidRPr="007275D4">
              <w:rPr>
                <w:rFonts w:eastAsia="Arial Unicode MS"/>
                <w:lang w:eastAsia="en-US"/>
              </w:rPr>
              <w:noBreakHyphen/>
            </w:r>
            <w:r w:rsidRPr="007275D4">
              <w:t>16 mukainen</w:t>
            </w:r>
          </w:p>
        </w:tc>
      </w:tr>
    </w:tbl>
    <w:p w:rsidR="00A727AA" w:rsidRPr="007275D4" w:rsidRDefault="00A727AA"/>
    <w:p w:rsidR="00A727AA" w:rsidRPr="007275D4" w:rsidRDefault="00A727AA">
      <w:pPr>
        <w:rPr>
          <w:b/>
        </w:rPr>
      </w:pPr>
      <w:r w:rsidRPr="007275D4">
        <w:rPr>
          <w:b/>
        </w:rPr>
        <w:t>Standardinmukaisuus</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Käytetään seuraavien standardien mukaisesti:</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NEN2575, VDE0833 ja BS5839</w:t>
            </w:r>
          </w:p>
        </w:tc>
      </w:tr>
      <w:tr w:rsidR="006442CA" w:rsidRPr="007275D4" w:rsidTr="003C225F">
        <w:tc>
          <w:tcPr>
            <w:tcW w:w="2154" w:type="dxa"/>
            <w:shd w:val="clear" w:color="auto" w:fill="auto"/>
            <w:tcMar>
              <w:left w:w="0" w:type="dxa"/>
              <w:right w:w="0" w:type="dxa"/>
            </w:tcMar>
          </w:tcPr>
          <w:p w:rsidR="006442CA" w:rsidRPr="007275D4" w:rsidRDefault="006442CA" w:rsidP="009C1311">
            <w:pPr>
              <w:spacing w:after="120"/>
              <w:rPr>
                <w:rFonts w:eastAsia="Arial Unicode MS"/>
                <w:lang w:eastAsia="en-US"/>
              </w:rPr>
            </w:pPr>
            <w:r w:rsidRPr="007275D4">
              <w:t>Evakuointi</w:t>
            </w:r>
          </w:p>
        </w:tc>
        <w:tc>
          <w:tcPr>
            <w:tcW w:w="2268" w:type="dxa"/>
            <w:shd w:val="pct10" w:color="auto" w:fill="auto"/>
            <w:tcMar>
              <w:left w:w="0" w:type="dxa"/>
              <w:right w:w="0" w:type="dxa"/>
            </w:tcMar>
          </w:tcPr>
          <w:p w:rsidR="006442CA" w:rsidRPr="007275D4" w:rsidRDefault="006442CA" w:rsidP="009C1311">
            <w:pPr>
              <w:spacing w:after="120"/>
              <w:rPr>
                <w:rFonts w:eastAsia="Arial Unicode MS"/>
                <w:lang w:eastAsia="en-US"/>
              </w:rPr>
            </w:pPr>
            <w:r w:rsidRPr="007275D4">
              <w:t>Standardin EN 60849 mukainen</w:t>
            </w:r>
          </w:p>
        </w:tc>
      </w:tr>
    </w:tbl>
    <w:p w:rsidR="00A727AA" w:rsidRPr="007275D4" w:rsidRDefault="00A727AA"/>
    <w:p w:rsidR="006C3EA1" w:rsidRPr="007275D4" w:rsidRDefault="0048342F">
      <w:r w:rsidRPr="007275D4">
        <w:t>Lisäksi järjestelmä on sähkölaitteiden suunnittelua, rakentamista ja asentamista koskevien kansainvälisten, kansallisten ja paikallisten säädösten mukainen.</w:t>
      </w:r>
    </w:p>
    <w:p w:rsidR="00A727AA" w:rsidRPr="007275D4" w:rsidRDefault="00A727AA">
      <w:pPr>
        <w:suppressAutoHyphens w:val="0"/>
        <w:rPr>
          <w:rFonts w:ascii="Arial" w:hAnsi="Arial" w:cs="Arial"/>
          <w:b/>
          <w:iCs/>
          <w:kern w:val="1"/>
          <w:sz w:val="24"/>
          <w:szCs w:val="28"/>
        </w:rPr>
      </w:pPr>
      <w:r w:rsidRPr="007275D4">
        <w:br w:type="page"/>
      </w:r>
    </w:p>
    <w:p w:rsidR="006C3EA1" w:rsidRPr="007275D4" w:rsidRDefault="006C3EA1" w:rsidP="006C3EA1">
      <w:pPr>
        <w:pStyle w:val="Heading2"/>
      </w:pPr>
      <w:bookmarkStart w:id="14" w:name="_Toc386022853"/>
      <w:r w:rsidRPr="007275D4">
        <w:lastRenderedPageBreak/>
        <w:t>Järjestelmän yhteensopivuus</w:t>
      </w:r>
      <w:bookmarkEnd w:id="14"/>
    </w:p>
    <w:p w:rsidR="006C3EA1" w:rsidRPr="007275D4" w:rsidRDefault="006C3EA1" w:rsidP="006C3EA1">
      <w:r w:rsidRPr="007275D4">
        <w:t>Kaiuttimien linjaeristinjärjestelmä testataan seuraavien tuotteiden ja tuoteryhmien kanssa:</w:t>
      </w:r>
    </w:p>
    <w:p w:rsidR="006C3EA1" w:rsidRPr="007275D4" w:rsidRDefault="006C3EA1" w:rsidP="006C3EA1"/>
    <w:p w:rsidR="006C3EA1" w:rsidRPr="007275D4" w:rsidRDefault="006C3EA1" w:rsidP="006C3EA1">
      <w:r w:rsidRPr="007275D4">
        <w:rPr>
          <w:b/>
        </w:rPr>
        <w:t>Tuoteryhmä</w:t>
      </w:r>
      <w:r w:rsidRPr="007275D4">
        <w:t>:</w:t>
      </w:r>
    </w:p>
    <w:p w:rsidR="006C3EA1" w:rsidRPr="007275D4" w:rsidRDefault="00031AE9" w:rsidP="00A727AA">
      <w:pPr>
        <w:pStyle w:val="ListParagraph"/>
        <w:numPr>
          <w:ilvl w:val="0"/>
          <w:numId w:val="16"/>
        </w:numPr>
      </w:pPr>
      <w:r w:rsidRPr="007275D4">
        <w:t>Praesideo-äänievakuointijärjestelmä</w:t>
      </w:r>
    </w:p>
    <w:p w:rsidR="006C3EA1" w:rsidRPr="007275D4" w:rsidRDefault="00E96594" w:rsidP="00A727AA">
      <w:pPr>
        <w:pStyle w:val="ListParagraph"/>
        <w:numPr>
          <w:ilvl w:val="0"/>
          <w:numId w:val="16"/>
        </w:numPr>
      </w:pPr>
      <w:r w:rsidRPr="007275D4">
        <w:t>Plena (VAS) -äänievakuointijärjestelmä</w:t>
      </w:r>
    </w:p>
    <w:p w:rsidR="006C3EA1" w:rsidRPr="007275D4" w:rsidRDefault="006C3EA1" w:rsidP="006C3EA1">
      <w:r w:rsidRPr="007275D4">
        <w:rPr>
          <w:b/>
        </w:rPr>
        <w:t>Praesideo-vahvistimet</w:t>
      </w:r>
      <w:r w:rsidRPr="007275D4">
        <w:t>:</w:t>
      </w:r>
    </w:p>
    <w:p w:rsidR="00917B6F" w:rsidRPr="007275D4" w:rsidRDefault="00C24A4B" w:rsidP="00A727AA">
      <w:pPr>
        <w:pStyle w:val="ListParagraph"/>
        <w:numPr>
          <w:ilvl w:val="0"/>
          <w:numId w:val="17"/>
        </w:numPr>
      </w:pPr>
      <w:r w:rsidRPr="007275D4">
        <w:t>Tehovahvistimet: PRS-1P500, PRS-2P250 ja PRS-4P125</w:t>
      </w:r>
    </w:p>
    <w:p w:rsidR="006C3EA1" w:rsidRPr="007275D4" w:rsidRDefault="006C3EA1" w:rsidP="00A727AA">
      <w:pPr>
        <w:pStyle w:val="ListParagraph"/>
        <w:numPr>
          <w:ilvl w:val="0"/>
          <w:numId w:val="17"/>
        </w:numPr>
      </w:pPr>
      <w:r w:rsidRPr="007275D4">
        <w:t>Perusvahvistimet: PRS-1B500, PRS-2B250 ja PRS-4B125</w:t>
      </w:r>
    </w:p>
    <w:p w:rsidR="006C3EA1" w:rsidRPr="007275D4" w:rsidRDefault="00E96594" w:rsidP="006C3EA1">
      <w:r w:rsidRPr="007275D4">
        <w:rPr>
          <w:b/>
        </w:rPr>
        <w:t>Plena-äänievakuointijärjestelmän yksiköt</w:t>
      </w:r>
      <w:r w:rsidRPr="007275D4">
        <w:t>:</w:t>
      </w:r>
    </w:p>
    <w:p w:rsidR="00917B6F" w:rsidRPr="007275D4" w:rsidRDefault="006C3EA1" w:rsidP="00A727AA">
      <w:pPr>
        <w:pStyle w:val="ListParagraph"/>
        <w:numPr>
          <w:ilvl w:val="0"/>
          <w:numId w:val="18"/>
        </w:numPr>
      </w:pPr>
      <w:r w:rsidRPr="007275D4">
        <w:t>Plena-äänievakuointijärjestelmän ohjain: LBB1990/00</w:t>
      </w:r>
    </w:p>
    <w:p w:rsidR="00917B6F" w:rsidRPr="007275D4" w:rsidRDefault="006C3EA1" w:rsidP="00A727AA">
      <w:pPr>
        <w:pStyle w:val="ListParagraph"/>
        <w:numPr>
          <w:ilvl w:val="0"/>
          <w:numId w:val="18"/>
        </w:numPr>
      </w:pPr>
      <w:r w:rsidRPr="007275D4">
        <w:t>Plena-äänievakuointijärjestelmän reititin: LBB1992/00</w:t>
      </w:r>
    </w:p>
    <w:p w:rsidR="006C3EA1" w:rsidRPr="007275D4" w:rsidRDefault="006C3EA1" w:rsidP="00A727AA">
      <w:pPr>
        <w:pStyle w:val="ListParagraph"/>
        <w:numPr>
          <w:ilvl w:val="0"/>
          <w:numId w:val="18"/>
        </w:numPr>
      </w:pPr>
      <w:r w:rsidRPr="007275D4">
        <w:t>Plena-tehovahvistimet: LBB1930/20, LBB1935/20 ja LBB1938/20</w:t>
      </w:r>
    </w:p>
    <w:p w:rsidR="008C33E1" w:rsidRPr="007275D4" w:rsidRDefault="008C33E1" w:rsidP="006C3EA1"/>
    <w:p w:rsidR="006C3EA1" w:rsidRPr="007275D4" w:rsidRDefault="006C3EA1" w:rsidP="006C3EA1">
      <w:r w:rsidRPr="007275D4">
        <w:t>Kaiuttimien linjaeristinjärjestelmä on yhteensopiva Praesideo-tuoteperheen</w:t>
      </w:r>
      <w:r w:rsidR="00855316">
        <w:t xml:space="preserve"> </w:t>
      </w:r>
      <w:r w:rsidRPr="007275D4">
        <w:t>kaiutinvalvontatuotteiden (LBB4440/00, LBB4441/00, LBB4442/00 ja LBB4443/00) kanssa.</w:t>
      </w:r>
    </w:p>
    <w:p w:rsidR="003F3B3C" w:rsidRPr="007275D4" w:rsidRDefault="0048342F">
      <w:pPr>
        <w:pStyle w:val="Heading2"/>
      </w:pPr>
      <w:bookmarkStart w:id="15" w:name="__RefHeading__19_768757415"/>
      <w:bookmarkStart w:id="16" w:name="_Toc386022854"/>
      <w:bookmarkEnd w:id="15"/>
      <w:r w:rsidRPr="007275D4">
        <w:t>Järjestelmän määritykset</w:t>
      </w:r>
      <w:bookmarkEnd w:id="16"/>
    </w:p>
    <w:p w:rsidR="004D1FC6" w:rsidRPr="007275D4" w:rsidRDefault="00A71813" w:rsidP="004D1FC6">
      <w:r w:rsidRPr="007275D4">
        <w:t>Mahdolliset asennustavat ovat seuraavat:</w:t>
      </w:r>
    </w:p>
    <w:p w:rsidR="00A71813" w:rsidRPr="007275D4" w:rsidRDefault="00A71813" w:rsidP="004D1FC6"/>
    <w:p w:rsidR="008A158A" w:rsidRPr="007275D4" w:rsidRDefault="008A158A" w:rsidP="008A158A">
      <w:pPr>
        <w:rPr>
          <w:b/>
        </w:rPr>
      </w:pPr>
      <w:r w:rsidRPr="007275D4">
        <w:rPr>
          <w:b/>
        </w:rPr>
        <w:t>Asennusvaihtoehto 1: yksi eristinpiiri kaiutinta kohden:</w:t>
      </w:r>
    </w:p>
    <w:p w:rsidR="007F4F4A" w:rsidRPr="007275D4" w:rsidRDefault="007F4F4A" w:rsidP="007F4F4A">
      <w:r w:rsidRPr="007275D4">
        <w:t>tällöin jokaiseen kaiutinsilmukkaan voidaan asentaa enintään 50 eristinpiiriä.</w:t>
      </w:r>
    </w:p>
    <w:p w:rsidR="00A71813" w:rsidRPr="007275D4" w:rsidRDefault="00A71813" w:rsidP="004D1FC6"/>
    <w:p w:rsidR="00A71813" w:rsidRPr="007275D4" w:rsidRDefault="008A158A" w:rsidP="004D1FC6">
      <w:r w:rsidRPr="007275D4">
        <w:rPr>
          <w:noProof/>
          <w:lang w:val="en-US" w:eastAsia="zh-TW" w:bidi="ar-SA"/>
        </w:rPr>
        <w:drawing>
          <wp:inline distT="0" distB="0" distL="0" distR="0" wp14:anchorId="389967D3" wp14:editId="7030CDE9">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20" cstate="print"/>
                    <a:stretch>
                      <a:fillRect/>
                    </a:stretch>
                  </pic:blipFill>
                  <pic:spPr>
                    <a:xfrm>
                      <a:off x="0" y="0"/>
                      <a:ext cx="2865755" cy="1656715"/>
                    </a:xfrm>
                    <a:prstGeom prst="rect">
                      <a:avLst/>
                    </a:prstGeom>
                  </pic:spPr>
                </pic:pic>
              </a:graphicData>
            </a:graphic>
          </wp:inline>
        </w:drawing>
      </w:r>
    </w:p>
    <w:p w:rsidR="008A158A" w:rsidRPr="007275D4" w:rsidRDefault="008A158A" w:rsidP="008A158A"/>
    <w:p w:rsidR="00A71813" w:rsidRPr="007275D4" w:rsidRDefault="00A71813" w:rsidP="00A71813"/>
    <w:p w:rsidR="00A71813" w:rsidRPr="007275D4" w:rsidRDefault="00EA2FCF" w:rsidP="00A71813">
      <w:pPr>
        <w:rPr>
          <w:b/>
        </w:rPr>
      </w:pPr>
      <w:r w:rsidRPr="007275D4">
        <w:rPr>
          <w:b/>
        </w:rPr>
        <w:br w:type="column"/>
      </w:r>
      <w:r w:rsidRPr="007275D4">
        <w:rPr>
          <w:b/>
        </w:rPr>
        <w:lastRenderedPageBreak/>
        <w:t>Asennusvaihtoehto 2: useita kaiuttimia kytketty yhteen eristinpiiriin:</w:t>
      </w:r>
    </w:p>
    <w:p w:rsidR="007F4F4A" w:rsidRPr="007275D4" w:rsidRDefault="007F4F4A" w:rsidP="004D1FC6"/>
    <w:p w:rsidR="00A71813" w:rsidRPr="007275D4" w:rsidRDefault="007F4F4A" w:rsidP="004D1FC6">
      <w:r w:rsidRPr="007275D4">
        <w:rPr>
          <w:noProof/>
          <w:lang w:val="en-US" w:eastAsia="zh-TW" w:bidi="ar-SA"/>
        </w:rPr>
        <w:drawing>
          <wp:inline distT="0" distB="0" distL="0" distR="0" wp14:anchorId="1B584FB2" wp14:editId="25F6104B">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1" cstate="print"/>
                    <a:stretch>
                      <a:fillRect/>
                    </a:stretch>
                  </pic:blipFill>
                  <pic:spPr>
                    <a:xfrm>
                      <a:off x="0" y="0"/>
                      <a:ext cx="2865755" cy="1788160"/>
                    </a:xfrm>
                    <a:prstGeom prst="rect">
                      <a:avLst/>
                    </a:prstGeom>
                  </pic:spPr>
                </pic:pic>
              </a:graphicData>
            </a:graphic>
          </wp:inline>
        </w:drawing>
      </w:r>
    </w:p>
    <w:p w:rsidR="00670F2A" w:rsidRPr="007275D4" w:rsidRDefault="00670F2A" w:rsidP="004D1FC6"/>
    <w:p w:rsidR="00A71813" w:rsidRPr="007275D4" w:rsidRDefault="00A71813" w:rsidP="004D1FC6"/>
    <w:p w:rsidR="00EA2FCF" w:rsidRPr="007275D4" w:rsidRDefault="00EA2FCF" w:rsidP="004D1FC6"/>
    <w:p w:rsidR="004D1FC6" w:rsidRPr="007275D4" w:rsidRDefault="00A71813" w:rsidP="004D1FC6">
      <w:pPr>
        <w:rPr>
          <w:b/>
        </w:rPr>
      </w:pPr>
      <w:r w:rsidRPr="007275D4">
        <w:rPr>
          <w:b/>
        </w:rPr>
        <w:t>Asennusvaihtoehto 3: kaiuttimet kytketty eristinpiirien väliin:</w:t>
      </w:r>
    </w:p>
    <w:p w:rsidR="007F4F4A" w:rsidRPr="007275D4" w:rsidRDefault="007F4F4A" w:rsidP="004D1FC6">
      <w:pPr>
        <w:rPr>
          <w:b/>
        </w:rPr>
      </w:pPr>
    </w:p>
    <w:p w:rsidR="007F4F4A" w:rsidRPr="007275D4" w:rsidRDefault="007F4F4A" w:rsidP="004D1FC6">
      <w:pPr>
        <w:rPr>
          <w:b/>
        </w:rPr>
      </w:pPr>
      <w:r w:rsidRPr="007275D4">
        <w:rPr>
          <w:b/>
          <w:noProof/>
          <w:lang w:val="en-US" w:eastAsia="zh-TW" w:bidi="ar-SA"/>
        </w:rPr>
        <w:drawing>
          <wp:inline distT="0" distB="0" distL="0" distR="0" wp14:anchorId="6BDBE2A9" wp14:editId="6D93704B">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2" cstate="print"/>
                    <a:stretch>
                      <a:fillRect/>
                    </a:stretch>
                  </pic:blipFill>
                  <pic:spPr>
                    <a:xfrm>
                      <a:off x="0" y="0"/>
                      <a:ext cx="2865755" cy="1558925"/>
                    </a:xfrm>
                    <a:prstGeom prst="rect">
                      <a:avLst/>
                    </a:prstGeom>
                  </pic:spPr>
                </pic:pic>
              </a:graphicData>
            </a:graphic>
          </wp:inline>
        </w:drawing>
      </w:r>
    </w:p>
    <w:p w:rsidR="007F4F4A" w:rsidRPr="007275D4" w:rsidRDefault="007F4F4A" w:rsidP="004D1FC6">
      <w:pPr>
        <w:rPr>
          <w:b/>
        </w:rPr>
      </w:pPr>
    </w:p>
    <w:p w:rsidR="00EA2FCF" w:rsidRPr="007275D4" w:rsidRDefault="00EA2FCF" w:rsidP="004D1FC6">
      <w:pPr>
        <w:rPr>
          <w:b/>
        </w:rPr>
      </w:pPr>
    </w:p>
    <w:p w:rsidR="00EA2FCF" w:rsidRPr="007275D4" w:rsidRDefault="00EA2FCF" w:rsidP="004D1FC6">
      <w:pPr>
        <w:rPr>
          <w:b/>
        </w:rPr>
      </w:pPr>
    </w:p>
    <w:p w:rsidR="007F4F4A" w:rsidRPr="007275D4" w:rsidRDefault="007F4F4A" w:rsidP="004D1FC6">
      <w:pPr>
        <w:rPr>
          <w:b/>
        </w:rPr>
      </w:pPr>
      <w:r w:rsidRPr="007275D4">
        <w:rPr>
          <w:b/>
        </w:rPr>
        <w:t>Yhdistetyt asennusvaihtoehdot:</w:t>
      </w:r>
    </w:p>
    <w:p w:rsidR="007F4F4A" w:rsidRPr="007275D4" w:rsidRDefault="007F4F4A" w:rsidP="004D1FC6">
      <w:r w:rsidRPr="007275D4">
        <w:t>Asennustapoja voi yhdistellä:</w:t>
      </w:r>
    </w:p>
    <w:p w:rsidR="007F4F4A" w:rsidRPr="007275D4" w:rsidRDefault="007F4F4A" w:rsidP="004D1FC6">
      <w:pPr>
        <w:rPr>
          <w:b/>
        </w:rPr>
      </w:pPr>
    </w:p>
    <w:p w:rsidR="007F4F4A" w:rsidRPr="007275D4" w:rsidRDefault="007F4F4A" w:rsidP="004D1FC6">
      <w:pPr>
        <w:rPr>
          <w:b/>
        </w:rPr>
      </w:pPr>
      <w:r w:rsidRPr="007275D4">
        <w:rPr>
          <w:b/>
          <w:noProof/>
          <w:lang w:val="en-US" w:eastAsia="zh-TW" w:bidi="ar-SA"/>
        </w:rPr>
        <w:drawing>
          <wp:inline distT="0" distB="0" distL="0" distR="0" wp14:anchorId="4C47D3AC" wp14:editId="7A905302">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3" cstate="print"/>
                    <a:stretch>
                      <a:fillRect/>
                    </a:stretch>
                  </pic:blipFill>
                  <pic:spPr>
                    <a:xfrm>
                      <a:off x="0" y="0"/>
                      <a:ext cx="2865755" cy="1638935"/>
                    </a:xfrm>
                    <a:prstGeom prst="rect">
                      <a:avLst/>
                    </a:prstGeom>
                  </pic:spPr>
                </pic:pic>
              </a:graphicData>
            </a:graphic>
          </wp:inline>
        </w:drawing>
      </w:r>
    </w:p>
    <w:p w:rsidR="0074040C" w:rsidRPr="007275D4" w:rsidRDefault="0074040C" w:rsidP="004D1FC6">
      <w:pPr>
        <w:rPr>
          <w:b/>
        </w:rPr>
      </w:pPr>
    </w:p>
    <w:p w:rsidR="007F4F4A" w:rsidRPr="007275D4" w:rsidRDefault="007F4F4A" w:rsidP="004D1FC6">
      <w:pPr>
        <w:rPr>
          <w:b/>
        </w:rPr>
      </w:pPr>
    </w:p>
    <w:tbl>
      <w:tblPr>
        <w:tblW w:w="4394" w:type="dxa"/>
        <w:tblInd w:w="292" w:type="dxa"/>
        <w:tblLayout w:type="fixed"/>
        <w:tblCellMar>
          <w:left w:w="0" w:type="dxa"/>
          <w:right w:w="0" w:type="dxa"/>
        </w:tblCellMar>
        <w:tblLook w:val="0000" w:firstRow="0" w:lastRow="0" w:firstColumn="0" w:lastColumn="0" w:noHBand="0" w:noVBand="0"/>
      </w:tblPr>
      <w:tblGrid>
        <w:gridCol w:w="616"/>
        <w:gridCol w:w="3778"/>
      </w:tblGrid>
      <w:tr w:rsidR="0074040C" w:rsidRPr="007275D4" w:rsidTr="000826D8">
        <w:trPr>
          <w:tblHeader/>
        </w:trPr>
        <w:tc>
          <w:tcPr>
            <w:tcW w:w="616"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7275D4" w:rsidRDefault="0074040C" w:rsidP="00624DF3">
            <w:pPr>
              <w:ind w:left="14"/>
              <w:rPr>
                <w:b/>
                <w:spacing w:val="-4"/>
              </w:rPr>
            </w:pPr>
            <w:r w:rsidRPr="007275D4">
              <w:rPr>
                <w:b/>
                <w:spacing w:val="-4"/>
              </w:rPr>
              <w:t>Määrä</w:t>
            </w:r>
          </w:p>
        </w:tc>
        <w:tc>
          <w:tcPr>
            <w:tcW w:w="3778"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7275D4" w:rsidRDefault="0074040C" w:rsidP="00624DF3">
            <w:pPr>
              <w:ind w:left="14"/>
              <w:rPr>
                <w:b/>
              </w:rPr>
            </w:pPr>
            <w:r w:rsidRPr="007275D4">
              <w:rPr>
                <w:b/>
              </w:rPr>
              <w:t>Kohde</w:t>
            </w:r>
          </w:p>
        </w:tc>
      </w:tr>
      <w:tr w:rsidR="0074040C" w:rsidRPr="007275D4" w:rsidTr="000826D8">
        <w:tc>
          <w:tcPr>
            <w:tcW w:w="616"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1</w:t>
            </w:r>
          </w:p>
        </w:tc>
        <w:tc>
          <w:tcPr>
            <w:tcW w:w="3778"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Yleisäänentoisto-/äänievakuointijärjestelmän vyöhykelähtö</w:t>
            </w:r>
          </w:p>
        </w:tc>
      </w:tr>
      <w:tr w:rsidR="0074040C" w:rsidRPr="007275D4" w:rsidTr="000826D8">
        <w:tc>
          <w:tcPr>
            <w:tcW w:w="616"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2</w:t>
            </w:r>
          </w:p>
        </w:tc>
        <w:tc>
          <w:tcPr>
            <w:tcW w:w="3778"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Päälaite</w:t>
            </w:r>
          </w:p>
        </w:tc>
      </w:tr>
      <w:tr w:rsidR="0074040C" w:rsidRPr="007275D4" w:rsidTr="000826D8">
        <w:tc>
          <w:tcPr>
            <w:tcW w:w="616"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3</w:t>
            </w:r>
          </w:p>
        </w:tc>
        <w:tc>
          <w:tcPr>
            <w:tcW w:w="3778"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Kaiutinsilmukka (yksi silmukka näytetään)</w:t>
            </w:r>
          </w:p>
        </w:tc>
      </w:tr>
      <w:tr w:rsidR="0074040C" w:rsidRPr="007275D4" w:rsidTr="000826D8">
        <w:tc>
          <w:tcPr>
            <w:tcW w:w="616"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4</w:t>
            </w:r>
          </w:p>
        </w:tc>
        <w:tc>
          <w:tcPr>
            <w:tcW w:w="3778"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Eristinpiiri</w:t>
            </w:r>
          </w:p>
        </w:tc>
      </w:tr>
      <w:tr w:rsidR="0074040C" w:rsidRPr="007275D4" w:rsidTr="000826D8">
        <w:tc>
          <w:tcPr>
            <w:tcW w:w="616"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5</w:t>
            </w:r>
          </w:p>
        </w:tc>
        <w:tc>
          <w:tcPr>
            <w:tcW w:w="3778"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Kaiutin</w:t>
            </w:r>
          </w:p>
        </w:tc>
      </w:tr>
      <w:tr w:rsidR="0074040C" w:rsidRPr="007275D4" w:rsidTr="000826D8">
        <w:tc>
          <w:tcPr>
            <w:tcW w:w="616"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6</w:t>
            </w:r>
          </w:p>
        </w:tc>
        <w:tc>
          <w:tcPr>
            <w:tcW w:w="3778"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7275D4" w:rsidRDefault="0074040C" w:rsidP="00624DF3">
            <w:pPr>
              <w:ind w:left="14"/>
            </w:pPr>
            <w:r w:rsidRPr="007275D4">
              <w:t>DC-estopiiri</w:t>
            </w:r>
          </w:p>
        </w:tc>
      </w:tr>
    </w:tbl>
    <w:p w:rsidR="003F3B3C" w:rsidRPr="007275D4" w:rsidRDefault="0048342F">
      <w:pPr>
        <w:pStyle w:val="Heading2"/>
      </w:pPr>
      <w:bookmarkStart w:id="17" w:name="__RefHeading__21_768757415"/>
      <w:bookmarkStart w:id="18" w:name="_Toc386022855"/>
      <w:bookmarkEnd w:id="17"/>
      <w:r w:rsidRPr="007275D4">
        <w:lastRenderedPageBreak/>
        <w:t>Järjestelmän asentaminen ja liitännät</w:t>
      </w:r>
      <w:bookmarkEnd w:id="18"/>
    </w:p>
    <w:p w:rsidR="008A158A" w:rsidRPr="007275D4" w:rsidRDefault="008A158A" w:rsidP="008A158A">
      <w:r w:rsidRPr="007275D4">
        <w:t>Päälaite asennetaan 19 tuuman telineeseen.</w:t>
      </w:r>
    </w:p>
    <w:p w:rsidR="008A158A" w:rsidRPr="007275D4" w:rsidRDefault="008A158A" w:rsidP="008A158A"/>
    <w:p w:rsidR="00137977" w:rsidRPr="007275D4" w:rsidRDefault="0048342F" w:rsidP="00137977">
      <w:r w:rsidRPr="007275D4">
        <w:t>Järjestelmän asennus perustuu silmukkajohdotukseen. Kaikki kaiuttimet yhdistetään järjestelmään käyttämällä eristinpiiriä, DC-estopiiriä tai DC-estokondensaattoria.</w:t>
      </w:r>
    </w:p>
    <w:p w:rsidR="00137977" w:rsidRPr="007275D4" w:rsidRDefault="00137977" w:rsidP="00137977"/>
    <w:p w:rsidR="00137977" w:rsidRPr="007275D4" w:rsidRDefault="00137977" w:rsidP="00137977">
      <w:r w:rsidRPr="007275D4">
        <w:t>Kaiutinsilmukassa käytettävien johtojen enimmäispaksuus on 2,5 mm</w:t>
      </w:r>
      <w:r w:rsidRPr="007275D4">
        <w:rPr>
          <w:vertAlign w:val="superscript"/>
        </w:rPr>
        <w:t>2</w:t>
      </w:r>
      <w:r w:rsidRPr="007275D4">
        <w:t>. Kunkin kaiutinsilmukan johdon enimmäispituus on 1 000 m.</w:t>
      </w:r>
    </w:p>
    <w:p w:rsidR="00EA2FCF" w:rsidRPr="007275D4" w:rsidRDefault="00EA2FCF" w:rsidP="00137977"/>
    <w:p w:rsidR="00137977" w:rsidRPr="007275D4" w:rsidRDefault="00137977" w:rsidP="00137977">
      <w:r w:rsidRPr="007275D4">
        <w:t>Kunkin silmukan johdon kapasitanssi on 600 nF, mukaan lukien väliottojohdon kapasitanssi.</w:t>
      </w:r>
    </w:p>
    <w:p w:rsidR="00137977" w:rsidRPr="007275D4" w:rsidRDefault="00137977" w:rsidP="00137977">
      <w:r w:rsidRPr="007275D4">
        <w:t>Kunkin silmukan johdon impedanssi on 24 ohmia.</w:t>
      </w:r>
    </w:p>
    <w:p w:rsidR="00137977" w:rsidRPr="007275D4" w:rsidRDefault="00137977" w:rsidP="00137977"/>
    <w:p w:rsidR="00137977" w:rsidRPr="007275D4" w:rsidRDefault="00137977" w:rsidP="00137977">
      <w:pPr>
        <w:rPr>
          <w:spacing w:val="-2"/>
        </w:rPr>
      </w:pPr>
      <w:r w:rsidRPr="007275D4">
        <w:rPr>
          <w:spacing w:val="-2"/>
        </w:rPr>
        <w:t>Väliotosta kaiuttimeen kulkevan johdon enimmäispituus on 50 m</w:t>
      </w:r>
      <w:r w:rsidR="00E02F71" w:rsidRPr="007275D4">
        <w:rPr>
          <w:spacing w:val="-2"/>
        </w:rPr>
        <w:t xml:space="preserve"> </w:t>
      </w:r>
      <w:r w:rsidR="00EA2FCF" w:rsidRPr="007275D4">
        <w:rPr>
          <w:spacing w:val="-2"/>
        </w:rPr>
        <w:t>silmukan pituudesta huolimatta. DC-estopiirin suurin sallittu kuormitus on 20 wattia.</w:t>
      </w:r>
    </w:p>
    <w:p w:rsidR="003F3B3C" w:rsidRPr="007275D4" w:rsidRDefault="0048342F">
      <w:pPr>
        <w:pStyle w:val="Heading2"/>
      </w:pPr>
      <w:bookmarkStart w:id="19" w:name="__RefHeading__23_768757415"/>
      <w:bookmarkStart w:id="20" w:name="_Toc386022856"/>
      <w:bookmarkEnd w:id="19"/>
      <w:r w:rsidRPr="007275D4">
        <w:t>Järjestelmän toiminta</w:t>
      </w:r>
      <w:bookmarkEnd w:id="20"/>
    </w:p>
    <w:p w:rsidR="00A71813" w:rsidRPr="007275D4" w:rsidRDefault="00A71813" w:rsidP="00A71813">
      <w:r w:rsidRPr="007275D4">
        <w:t xml:space="preserve">Kaiuttimien linjaeristinjärjestelmä on täysin valvottu järjestelmä. Päälaitteen etu- ja takapaneeleissa ei ole lainkaan säätimiä. </w:t>
      </w:r>
    </w:p>
    <w:p w:rsidR="00A71813" w:rsidRPr="007275D4" w:rsidRDefault="00A71813" w:rsidP="00A71813"/>
    <w:p w:rsidR="00A71813" w:rsidRPr="007275D4" w:rsidRDefault="00A71813" w:rsidP="00A71813">
      <w:r w:rsidRPr="007275D4">
        <w:t>Päälaitteen etupaneelin käyttöliittymässä on vain merkkivaloja, jotka ilmoittavat seuraavista tiloista:</w:t>
      </w:r>
    </w:p>
    <w:p w:rsidR="00A71813" w:rsidRPr="007275D4" w:rsidRDefault="00A71813" w:rsidP="00A727AA">
      <w:pPr>
        <w:pStyle w:val="ListParagraph"/>
        <w:numPr>
          <w:ilvl w:val="0"/>
          <w:numId w:val="14"/>
        </w:numPr>
      </w:pPr>
      <w:r w:rsidRPr="007275D4">
        <w:t>Kävelytestitila</w:t>
      </w:r>
    </w:p>
    <w:p w:rsidR="00A71813" w:rsidRPr="007275D4" w:rsidRDefault="00A71813" w:rsidP="00A727AA">
      <w:pPr>
        <w:pStyle w:val="ListParagraph"/>
        <w:numPr>
          <w:ilvl w:val="0"/>
          <w:numId w:val="14"/>
        </w:numPr>
      </w:pPr>
      <w:r w:rsidRPr="007275D4">
        <w:t>Vika</w:t>
      </w:r>
    </w:p>
    <w:p w:rsidR="00A71813" w:rsidRPr="007275D4" w:rsidRDefault="00E96594" w:rsidP="00A727AA">
      <w:pPr>
        <w:pStyle w:val="ListParagraph"/>
        <w:numPr>
          <w:ilvl w:val="0"/>
          <w:numId w:val="14"/>
        </w:numPr>
      </w:pPr>
      <w:r w:rsidRPr="007275D4">
        <w:t>Silmukan alustus</w:t>
      </w:r>
    </w:p>
    <w:p w:rsidR="00A71813" w:rsidRPr="007275D4" w:rsidRDefault="00A71813" w:rsidP="00A727AA">
      <w:pPr>
        <w:pStyle w:val="ListParagraph"/>
        <w:numPr>
          <w:ilvl w:val="0"/>
          <w:numId w:val="14"/>
        </w:numPr>
      </w:pPr>
      <w:r w:rsidRPr="007275D4">
        <w:t>Silmukka kunnossa</w:t>
      </w:r>
    </w:p>
    <w:p w:rsidR="00A71813" w:rsidRPr="007275D4" w:rsidRDefault="00A71813" w:rsidP="00A71813"/>
    <w:p w:rsidR="00B34A59" w:rsidRPr="007275D4" w:rsidRDefault="00A71813" w:rsidP="00A71813">
      <w:r w:rsidRPr="007275D4">
        <w:t xml:space="preserve">Verkkovirran ja varavirtalähteen tilat näkyvät myös päälaitteessa. </w:t>
      </w:r>
    </w:p>
    <w:p w:rsidR="00B34A59" w:rsidRPr="007275D4" w:rsidRDefault="00B34A59" w:rsidP="00A71813"/>
    <w:p w:rsidR="00B34A59" w:rsidRPr="007275D4" w:rsidRDefault="001E7AA4" w:rsidP="00A71813">
      <w:r w:rsidRPr="007275D4">
        <w:t>Päälaitteen, eristinpiirien ja DC-estopiirien enimmäiskäyttölämpötila on 55 °C.</w:t>
      </w:r>
    </w:p>
    <w:p w:rsidR="00B34A59" w:rsidRPr="007275D4" w:rsidRDefault="00B34A59" w:rsidP="00A71813"/>
    <w:p w:rsidR="0089458B" w:rsidRPr="007275D4" w:rsidRDefault="008C5967" w:rsidP="00A71813">
      <w:r w:rsidRPr="007275D4">
        <w:t>Järjestelmä tarkistaa pääkaiutinsilmukan vikatilat.</w:t>
      </w:r>
    </w:p>
    <w:p w:rsidR="003F3B3C" w:rsidRPr="007275D4" w:rsidRDefault="0048342F">
      <w:pPr>
        <w:pStyle w:val="Heading2"/>
      </w:pPr>
      <w:bookmarkStart w:id="21" w:name="__RefHeading__25_768757415"/>
      <w:bookmarkStart w:id="22" w:name="__RefHeading__27_768757415"/>
      <w:bookmarkStart w:id="23" w:name="_Toc386022857"/>
      <w:bookmarkEnd w:id="21"/>
      <w:bookmarkEnd w:id="22"/>
      <w:r w:rsidRPr="007275D4">
        <w:t>Järjestelmän paikallinen kunnossapito</w:t>
      </w:r>
      <w:bookmarkEnd w:id="23"/>
    </w:p>
    <w:p w:rsidR="003F3B3C" w:rsidRPr="007275D4" w:rsidRDefault="0048342F">
      <w:r w:rsidRPr="007275D4">
        <w:t>Järjestelmän rakenteen ansiosta paikallinen henkilökunta pystyy määrittämään ja korjaamaan viat nopeasti ja tehokkaasti. Kunnossapitoa helpottaa sisäänrakennettu kävelytestitila. Mukana toimitetaan varaosia ja ohjeet.</w:t>
      </w:r>
    </w:p>
    <w:p w:rsidR="003F3B3C" w:rsidRPr="007275D4" w:rsidRDefault="003F3B3C"/>
    <w:p w:rsidR="003F3B3C" w:rsidRPr="007275D4" w:rsidRDefault="00814F19" w:rsidP="00A727AA">
      <w:pPr>
        <w:pStyle w:val="Heading1"/>
        <w:pageBreakBefore/>
      </w:pPr>
      <w:bookmarkStart w:id="24" w:name="_Toc386022858"/>
      <w:r w:rsidRPr="007275D4">
        <w:lastRenderedPageBreak/>
        <w:t>Tekniset tiedot</w:t>
      </w:r>
      <w:bookmarkEnd w:id="24"/>
    </w:p>
    <w:p w:rsidR="00BF02A9" w:rsidRPr="007275D4" w:rsidRDefault="00BF02A9" w:rsidP="00BF02A9">
      <w:pPr>
        <w:autoSpaceDE w:val="0"/>
      </w:pPr>
      <w:r w:rsidRPr="007275D4">
        <w:t>Laitteen tekniset tiedot ovat seuraavat:</w:t>
      </w:r>
    </w:p>
    <w:p w:rsidR="00BF02A9" w:rsidRPr="007275D4" w:rsidRDefault="000D3780" w:rsidP="00A1466A">
      <w:pPr>
        <w:pStyle w:val="Heading2"/>
      </w:pPr>
      <w:bookmarkStart w:id="25" w:name="_Toc386022859"/>
      <w:r w:rsidRPr="007275D4">
        <w:t>Päälaite</w:t>
      </w:r>
      <w:bookmarkEnd w:id="25"/>
    </w:p>
    <w:p w:rsidR="004A6BB8" w:rsidRPr="007275D4" w:rsidRDefault="004A6BB8" w:rsidP="004A6BB8"/>
    <w:p w:rsidR="00A1466A" w:rsidRPr="007275D4" w:rsidRDefault="00A1466A" w:rsidP="00A1466A">
      <w:pPr>
        <w:rPr>
          <w:rFonts w:eastAsia="Arial Unicode MS"/>
          <w:b/>
          <w:bCs/>
          <w:iCs/>
          <w:lang w:eastAsia="en-US"/>
        </w:rPr>
      </w:pPr>
      <w:r w:rsidRPr="007275D4">
        <w:rPr>
          <w:b/>
          <w:bCs/>
          <w:iCs/>
        </w:rPr>
        <w:t>Sähköominaisuudet</w:t>
      </w:r>
    </w:p>
    <w:p w:rsidR="004A6BB8" w:rsidRPr="007275D4" w:rsidRDefault="004A6BB8" w:rsidP="00A1466A">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75771" w:rsidRPr="007275D4" w:rsidTr="003C225F">
        <w:tc>
          <w:tcPr>
            <w:tcW w:w="2154" w:type="dxa"/>
            <w:shd w:val="clear" w:color="auto" w:fill="auto"/>
            <w:tcMar>
              <w:left w:w="0" w:type="dxa"/>
              <w:right w:w="0" w:type="dxa"/>
            </w:tcMar>
          </w:tcPr>
          <w:p w:rsidR="00275771" w:rsidRPr="007275D4" w:rsidRDefault="00275771" w:rsidP="00275771">
            <w:pPr>
              <w:spacing w:after="120"/>
              <w:rPr>
                <w:rFonts w:eastAsia="Arial Unicode MS"/>
                <w:b/>
                <w:bCs/>
                <w:iCs/>
                <w:lang w:eastAsia="en-US"/>
              </w:rPr>
            </w:pPr>
            <w:r w:rsidRPr="007275D4">
              <w:rPr>
                <w:b/>
                <w:bCs/>
                <w:iCs/>
              </w:rPr>
              <w:t>Päävirtalähde</w:t>
            </w:r>
          </w:p>
        </w:tc>
        <w:tc>
          <w:tcPr>
            <w:tcW w:w="2268" w:type="dxa"/>
            <w:shd w:val="pct10" w:color="auto" w:fill="auto"/>
            <w:tcMar>
              <w:left w:w="0" w:type="dxa"/>
              <w:right w:w="0" w:type="dxa"/>
            </w:tcMar>
          </w:tcPr>
          <w:p w:rsidR="00275771" w:rsidRPr="007275D4" w:rsidRDefault="00275771" w:rsidP="00275771">
            <w:pPr>
              <w:spacing w:after="120"/>
              <w:rPr>
                <w:rFonts w:eastAsia="Arial Unicode MS"/>
                <w:b/>
                <w:bCs/>
                <w:iCs/>
                <w:lang w:eastAsia="en-US"/>
              </w:rPr>
            </w:pPr>
          </w:p>
        </w:tc>
      </w:tr>
      <w:tr w:rsidR="00275771" w:rsidRPr="007275D4" w:rsidTr="003C225F">
        <w:tc>
          <w:tcPr>
            <w:tcW w:w="2154" w:type="dxa"/>
            <w:shd w:val="clear" w:color="auto" w:fill="auto"/>
            <w:tcMar>
              <w:left w:w="0" w:type="dxa"/>
              <w:right w:w="0" w:type="dxa"/>
            </w:tcMar>
          </w:tcPr>
          <w:p w:rsidR="00275771" w:rsidRPr="007275D4" w:rsidRDefault="00275771" w:rsidP="00275771">
            <w:pPr>
              <w:spacing w:after="120"/>
              <w:rPr>
                <w:rFonts w:eastAsia="Arial Unicode MS"/>
                <w:lang w:eastAsia="en-US"/>
              </w:rPr>
            </w:pPr>
            <w:r w:rsidRPr="007275D4">
              <w:t>Jännite</w:t>
            </w:r>
          </w:p>
        </w:tc>
        <w:tc>
          <w:tcPr>
            <w:tcW w:w="2268" w:type="dxa"/>
            <w:shd w:val="pct10" w:color="auto" w:fill="auto"/>
            <w:tcMar>
              <w:left w:w="0" w:type="dxa"/>
              <w:right w:w="0" w:type="dxa"/>
            </w:tcMar>
          </w:tcPr>
          <w:p w:rsidR="00275771" w:rsidRPr="007275D4" w:rsidRDefault="00275771" w:rsidP="00275771">
            <w:pPr>
              <w:spacing w:after="120"/>
              <w:rPr>
                <w:rFonts w:eastAsia="Arial Unicode MS"/>
                <w:lang w:eastAsia="en-US"/>
              </w:rPr>
            </w:pPr>
            <w:r w:rsidRPr="007275D4">
              <w:t>115 / 230 VAC, ±10 %, 50/60 Hz</w:t>
            </w:r>
          </w:p>
        </w:tc>
      </w:tr>
      <w:tr w:rsidR="00275771" w:rsidRPr="007275D4" w:rsidTr="003C225F">
        <w:tc>
          <w:tcPr>
            <w:tcW w:w="2154" w:type="dxa"/>
            <w:shd w:val="clear" w:color="auto" w:fill="auto"/>
            <w:tcMar>
              <w:left w:w="0" w:type="dxa"/>
              <w:right w:w="0" w:type="dxa"/>
            </w:tcMar>
          </w:tcPr>
          <w:p w:rsidR="00275771" w:rsidRPr="007275D4" w:rsidRDefault="00275771" w:rsidP="00275771">
            <w:pPr>
              <w:spacing w:after="120"/>
              <w:rPr>
                <w:rFonts w:eastAsia="Arial Unicode MS"/>
                <w:lang w:eastAsia="en-US"/>
              </w:rPr>
            </w:pPr>
            <w:r w:rsidRPr="007275D4">
              <w:t>Sulakevaatimukset</w:t>
            </w:r>
          </w:p>
        </w:tc>
        <w:tc>
          <w:tcPr>
            <w:tcW w:w="2268" w:type="dxa"/>
            <w:shd w:val="pct10" w:color="auto" w:fill="auto"/>
            <w:tcMar>
              <w:left w:w="0" w:type="dxa"/>
              <w:right w:w="0" w:type="dxa"/>
            </w:tcMar>
          </w:tcPr>
          <w:p w:rsidR="00275771" w:rsidRPr="007275D4" w:rsidRDefault="007B64FF" w:rsidP="00275771">
            <w:pPr>
              <w:spacing w:after="120"/>
              <w:rPr>
                <w:rFonts w:eastAsia="Arial Unicode MS"/>
                <w:lang w:eastAsia="en-US"/>
              </w:rPr>
            </w:pPr>
            <w:r w:rsidRPr="007275D4">
              <w:t>T6.3 A, 250 V</w:t>
            </w:r>
          </w:p>
        </w:tc>
      </w:tr>
      <w:tr w:rsidR="00275771" w:rsidRPr="007275D4" w:rsidTr="003C225F">
        <w:tc>
          <w:tcPr>
            <w:tcW w:w="2154" w:type="dxa"/>
            <w:shd w:val="clear" w:color="auto" w:fill="auto"/>
            <w:tcMar>
              <w:left w:w="0" w:type="dxa"/>
              <w:right w:w="0" w:type="dxa"/>
            </w:tcMar>
          </w:tcPr>
          <w:p w:rsidR="00275771" w:rsidRPr="007275D4" w:rsidRDefault="00275771" w:rsidP="00275771">
            <w:pPr>
              <w:spacing w:after="120"/>
              <w:rPr>
                <w:rFonts w:eastAsia="Arial Unicode MS"/>
                <w:lang w:eastAsia="en-US"/>
              </w:rPr>
            </w:pPr>
            <w:r w:rsidRPr="007275D4">
              <w:t>Käynnistysvirta</w:t>
            </w:r>
          </w:p>
        </w:tc>
        <w:tc>
          <w:tcPr>
            <w:tcW w:w="2268" w:type="dxa"/>
            <w:shd w:val="pct10" w:color="auto" w:fill="auto"/>
            <w:tcMar>
              <w:left w:w="0" w:type="dxa"/>
              <w:right w:w="0" w:type="dxa"/>
            </w:tcMar>
          </w:tcPr>
          <w:p w:rsidR="00275771" w:rsidRPr="007275D4" w:rsidRDefault="007B64FF" w:rsidP="00275771">
            <w:pPr>
              <w:spacing w:after="120"/>
              <w:rPr>
                <w:rFonts w:eastAsia="Arial Unicode MS"/>
                <w:lang w:eastAsia="en-US"/>
              </w:rPr>
            </w:pPr>
            <w:r w:rsidRPr="007275D4">
              <w:t>Aika: &lt;10 ms; ≤30 A</w:t>
            </w:r>
          </w:p>
        </w:tc>
      </w:tr>
      <w:tr w:rsidR="00275771" w:rsidRPr="007275D4" w:rsidTr="003C225F">
        <w:tc>
          <w:tcPr>
            <w:tcW w:w="2154" w:type="dxa"/>
            <w:shd w:val="clear" w:color="auto" w:fill="auto"/>
            <w:tcMar>
              <w:left w:w="0" w:type="dxa"/>
              <w:right w:w="0" w:type="dxa"/>
            </w:tcMar>
          </w:tcPr>
          <w:p w:rsidR="00275771" w:rsidRPr="007275D4" w:rsidRDefault="00275771" w:rsidP="00275771">
            <w:pPr>
              <w:spacing w:after="120"/>
              <w:rPr>
                <w:rFonts w:eastAsia="Arial Unicode MS"/>
                <w:lang w:eastAsia="en-US"/>
              </w:rPr>
            </w:pPr>
            <w:r w:rsidRPr="007275D4">
              <w:t>Enimmäisvirrankulutus</w:t>
            </w:r>
          </w:p>
        </w:tc>
        <w:tc>
          <w:tcPr>
            <w:tcW w:w="2268" w:type="dxa"/>
            <w:shd w:val="pct10" w:color="auto" w:fill="auto"/>
            <w:tcMar>
              <w:left w:w="0" w:type="dxa"/>
              <w:right w:w="0" w:type="dxa"/>
            </w:tcMar>
          </w:tcPr>
          <w:p w:rsidR="00275771" w:rsidRPr="007275D4" w:rsidRDefault="007B64FF" w:rsidP="00275771">
            <w:pPr>
              <w:spacing w:after="120"/>
              <w:rPr>
                <w:rFonts w:eastAsia="Arial Unicode MS"/>
                <w:lang w:eastAsia="en-US"/>
              </w:rPr>
            </w:pPr>
            <w:r w:rsidRPr="007275D4">
              <w:t>150 W</w:t>
            </w:r>
          </w:p>
        </w:tc>
      </w:tr>
    </w:tbl>
    <w:p w:rsidR="00BF02A9" w:rsidRPr="007275D4" w:rsidRDefault="00BF02A9" w:rsidP="00BF02A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7275D4" w:rsidTr="003C225F">
        <w:tc>
          <w:tcPr>
            <w:tcW w:w="2154" w:type="dxa"/>
            <w:shd w:val="clear" w:color="auto" w:fill="auto"/>
            <w:tcMar>
              <w:left w:w="0" w:type="dxa"/>
              <w:right w:w="0" w:type="dxa"/>
            </w:tcMar>
          </w:tcPr>
          <w:p w:rsidR="00852259" w:rsidRPr="007275D4" w:rsidRDefault="00852259" w:rsidP="00BF02A9">
            <w:pPr>
              <w:spacing w:after="120"/>
              <w:rPr>
                <w:rFonts w:eastAsia="Arial Unicode MS"/>
                <w:b/>
                <w:lang w:eastAsia="en-US"/>
              </w:rPr>
            </w:pPr>
            <w:r w:rsidRPr="007275D4">
              <w:rPr>
                <w:b/>
              </w:rPr>
              <w:t>Akkuvirtalähde</w:t>
            </w:r>
          </w:p>
        </w:tc>
        <w:tc>
          <w:tcPr>
            <w:tcW w:w="2268" w:type="dxa"/>
            <w:shd w:val="pct10" w:color="auto" w:fill="auto"/>
            <w:tcMar>
              <w:left w:w="0" w:type="dxa"/>
              <w:right w:w="0" w:type="dxa"/>
            </w:tcMar>
          </w:tcPr>
          <w:p w:rsidR="00852259" w:rsidRPr="007275D4" w:rsidRDefault="00852259" w:rsidP="003C225F">
            <w:pPr>
              <w:spacing w:after="120"/>
              <w:rPr>
                <w:rFonts w:eastAsia="Arial Unicode MS"/>
                <w:lang w:eastAsia="en-US"/>
              </w:rPr>
            </w:pPr>
          </w:p>
        </w:tc>
      </w:tr>
      <w:tr w:rsidR="00852259" w:rsidRPr="007275D4" w:rsidTr="003C225F">
        <w:tc>
          <w:tcPr>
            <w:tcW w:w="2154" w:type="dxa"/>
            <w:shd w:val="clear" w:color="auto" w:fill="auto"/>
            <w:tcMar>
              <w:left w:w="0" w:type="dxa"/>
              <w:right w:w="0" w:type="dxa"/>
            </w:tcMar>
          </w:tcPr>
          <w:p w:rsidR="00852259" w:rsidRPr="007275D4" w:rsidRDefault="00852259" w:rsidP="00BF02A9">
            <w:pPr>
              <w:spacing w:after="120"/>
              <w:rPr>
                <w:rFonts w:eastAsia="Arial Unicode MS"/>
                <w:lang w:eastAsia="en-US"/>
              </w:rPr>
            </w:pPr>
            <w:r w:rsidRPr="007275D4">
              <w:t>Jännite</w:t>
            </w:r>
          </w:p>
        </w:tc>
        <w:tc>
          <w:tcPr>
            <w:tcW w:w="2268" w:type="dxa"/>
            <w:shd w:val="pct10" w:color="auto" w:fill="auto"/>
            <w:tcMar>
              <w:left w:w="0" w:type="dxa"/>
              <w:right w:w="0" w:type="dxa"/>
            </w:tcMar>
          </w:tcPr>
          <w:p w:rsidR="00852259" w:rsidRPr="007275D4" w:rsidRDefault="007B64FF" w:rsidP="003C225F">
            <w:pPr>
              <w:spacing w:after="120"/>
              <w:rPr>
                <w:rFonts w:eastAsia="Arial Unicode MS"/>
                <w:lang w:eastAsia="en-US"/>
              </w:rPr>
            </w:pPr>
            <w:r w:rsidRPr="007275D4">
              <w:t xml:space="preserve">18–56 VDC nimellinen </w:t>
            </w:r>
            <w:r w:rsidR="005C537E">
              <w:br/>
            </w:r>
            <w:r w:rsidRPr="007275D4">
              <w:t>24 tai 48 VDC</w:t>
            </w:r>
          </w:p>
        </w:tc>
      </w:tr>
      <w:tr w:rsidR="00852259" w:rsidRPr="007275D4" w:rsidTr="003C225F">
        <w:tc>
          <w:tcPr>
            <w:tcW w:w="2154" w:type="dxa"/>
            <w:shd w:val="clear" w:color="auto" w:fill="auto"/>
            <w:tcMar>
              <w:left w:w="0" w:type="dxa"/>
              <w:right w:w="0" w:type="dxa"/>
            </w:tcMar>
          </w:tcPr>
          <w:p w:rsidR="00852259" w:rsidRPr="007275D4" w:rsidRDefault="00852259" w:rsidP="00BF02A9">
            <w:pPr>
              <w:spacing w:after="120"/>
              <w:rPr>
                <w:rFonts w:eastAsia="Arial Unicode MS"/>
                <w:spacing w:val="-2"/>
                <w:lang w:eastAsia="en-US"/>
              </w:rPr>
            </w:pPr>
            <w:r w:rsidRPr="007275D4">
              <w:rPr>
                <w:spacing w:val="-2"/>
              </w:rPr>
              <w:t>Varalaitteen vianilmaisun taso</w:t>
            </w:r>
          </w:p>
        </w:tc>
        <w:tc>
          <w:tcPr>
            <w:tcW w:w="2268" w:type="dxa"/>
            <w:shd w:val="pct10" w:color="auto" w:fill="auto"/>
            <w:tcMar>
              <w:left w:w="0" w:type="dxa"/>
              <w:right w:w="0" w:type="dxa"/>
            </w:tcMar>
          </w:tcPr>
          <w:p w:rsidR="00852259" w:rsidRPr="007275D4" w:rsidRDefault="00852259" w:rsidP="003C225F">
            <w:pPr>
              <w:spacing w:after="120"/>
              <w:rPr>
                <w:rFonts w:eastAsia="Arial Unicode MS"/>
                <w:lang w:eastAsia="en-US"/>
              </w:rPr>
            </w:pPr>
            <w:r w:rsidRPr="007275D4">
              <w:t>21 ±1 VDC</w:t>
            </w:r>
          </w:p>
        </w:tc>
      </w:tr>
      <w:tr w:rsidR="00852259" w:rsidRPr="007275D4" w:rsidTr="003C225F">
        <w:tc>
          <w:tcPr>
            <w:tcW w:w="2154" w:type="dxa"/>
            <w:shd w:val="clear" w:color="auto" w:fill="auto"/>
            <w:tcMar>
              <w:left w:w="0" w:type="dxa"/>
              <w:right w:w="0" w:type="dxa"/>
            </w:tcMar>
          </w:tcPr>
          <w:p w:rsidR="00852259" w:rsidRPr="007275D4" w:rsidRDefault="00852259" w:rsidP="00BF02A9">
            <w:pPr>
              <w:spacing w:after="120"/>
              <w:rPr>
                <w:rFonts w:eastAsia="Arial Unicode MS"/>
                <w:spacing w:val="-2"/>
                <w:lang w:eastAsia="en-US"/>
              </w:rPr>
            </w:pPr>
            <w:r w:rsidRPr="007275D4">
              <w:rPr>
                <w:spacing w:val="-2"/>
              </w:rPr>
              <w:t>Varavirran enimmäisteho</w:t>
            </w:r>
          </w:p>
        </w:tc>
        <w:tc>
          <w:tcPr>
            <w:tcW w:w="2268" w:type="dxa"/>
            <w:shd w:val="pct10" w:color="auto" w:fill="auto"/>
            <w:tcMar>
              <w:left w:w="0" w:type="dxa"/>
              <w:right w:w="0" w:type="dxa"/>
            </w:tcMar>
          </w:tcPr>
          <w:p w:rsidR="00852259" w:rsidRPr="007275D4" w:rsidRDefault="00852259" w:rsidP="003C225F">
            <w:pPr>
              <w:spacing w:after="120"/>
              <w:rPr>
                <w:rFonts w:eastAsia="Arial Unicode MS"/>
                <w:lang w:eastAsia="en-US"/>
              </w:rPr>
            </w:pPr>
            <w:r w:rsidRPr="007275D4">
              <w:t>4,5 A</w:t>
            </w:r>
          </w:p>
        </w:tc>
      </w:tr>
    </w:tbl>
    <w:p w:rsidR="00AA62E9" w:rsidRPr="007275D4" w:rsidRDefault="00AA62E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2167CC" w:rsidRPr="007275D4" w:rsidTr="003C225F">
        <w:tc>
          <w:tcPr>
            <w:tcW w:w="2154" w:type="dxa"/>
            <w:shd w:val="clear" w:color="auto" w:fill="auto"/>
            <w:tcMar>
              <w:left w:w="0" w:type="dxa"/>
              <w:right w:w="0" w:type="dxa"/>
            </w:tcMar>
          </w:tcPr>
          <w:p w:rsidR="002167CC" w:rsidRPr="007275D4" w:rsidRDefault="002167CC" w:rsidP="002167CC">
            <w:pPr>
              <w:spacing w:after="120"/>
              <w:rPr>
                <w:rFonts w:eastAsia="Arial Unicode MS"/>
                <w:b/>
                <w:lang w:eastAsia="en-US"/>
              </w:rPr>
            </w:pPr>
            <w:r w:rsidRPr="007275D4">
              <w:rPr>
                <w:b/>
              </w:rPr>
              <w:t>Laitteistoliittymät</w:t>
            </w:r>
          </w:p>
        </w:tc>
        <w:tc>
          <w:tcPr>
            <w:tcW w:w="2268" w:type="dxa"/>
            <w:shd w:val="pct10" w:color="auto" w:fill="auto"/>
            <w:tcMar>
              <w:left w:w="0" w:type="dxa"/>
              <w:right w:w="0" w:type="dxa"/>
            </w:tcMar>
          </w:tcPr>
          <w:p w:rsidR="002167CC" w:rsidRPr="007275D4" w:rsidRDefault="002167CC" w:rsidP="002167CC">
            <w:pPr>
              <w:spacing w:after="120"/>
              <w:rPr>
                <w:rFonts w:eastAsia="Arial Unicode MS"/>
                <w:lang w:eastAsia="en-US"/>
              </w:rPr>
            </w:pPr>
          </w:p>
        </w:tc>
      </w:tr>
      <w:tr w:rsidR="002167CC" w:rsidRPr="007275D4" w:rsidTr="003C225F">
        <w:tc>
          <w:tcPr>
            <w:tcW w:w="2154" w:type="dxa"/>
            <w:shd w:val="clear" w:color="auto" w:fill="auto"/>
            <w:tcMar>
              <w:left w:w="0" w:type="dxa"/>
              <w:right w:w="0" w:type="dxa"/>
            </w:tcMar>
          </w:tcPr>
          <w:p w:rsidR="002167CC" w:rsidRPr="007275D4" w:rsidRDefault="002167CC" w:rsidP="002167CC">
            <w:pPr>
              <w:spacing w:after="120"/>
              <w:rPr>
                <w:rFonts w:eastAsia="Arial Unicode MS"/>
                <w:spacing w:val="-2"/>
                <w:lang w:eastAsia="en-US"/>
              </w:rPr>
            </w:pPr>
            <w:r w:rsidRPr="007275D4">
              <w:rPr>
                <w:spacing w:val="-2"/>
              </w:rPr>
              <w:t xml:space="preserve">100 V, äänen tulo ja lähtö </w:t>
            </w:r>
            <w:r w:rsidRPr="007275D4">
              <w:rPr>
                <w:spacing w:val="-2"/>
              </w:rPr>
              <w:br/>
              <w:t>(silmukat 1–6)</w:t>
            </w:r>
          </w:p>
        </w:tc>
        <w:tc>
          <w:tcPr>
            <w:tcW w:w="2268" w:type="dxa"/>
            <w:shd w:val="pct10" w:color="auto" w:fill="auto"/>
            <w:tcMar>
              <w:left w:w="0" w:type="dxa"/>
              <w:right w:w="0" w:type="dxa"/>
            </w:tcMar>
          </w:tcPr>
          <w:p w:rsidR="002167CC" w:rsidRPr="007275D4" w:rsidRDefault="002167CC" w:rsidP="002167CC">
            <w:pPr>
              <w:spacing w:after="120"/>
              <w:rPr>
                <w:rFonts w:eastAsia="Arial Unicode MS"/>
                <w:lang w:eastAsia="en-US"/>
              </w:rPr>
            </w:pPr>
            <w:r w:rsidRPr="007275D4">
              <w:t>Kiinnitettävä ruuviliitin</w:t>
            </w:r>
          </w:p>
        </w:tc>
      </w:tr>
      <w:tr w:rsidR="002167CC" w:rsidRPr="007275D4" w:rsidTr="003C225F">
        <w:tc>
          <w:tcPr>
            <w:tcW w:w="2154" w:type="dxa"/>
            <w:shd w:val="clear" w:color="auto" w:fill="auto"/>
            <w:tcMar>
              <w:left w:w="0" w:type="dxa"/>
              <w:right w:w="0" w:type="dxa"/>
            </w:tcMar>
          </w:tcPr>
          <w:p w:rsidR="002167CC" w:rsidRPr="007275D4" w:rsidRDefault="002167CC" w:rsidP="002167CC">
            <w:pPr>
              <w:spacing w:after="120"/>
              <w:rPr>
                <w:rFonts w:eastAsia="Arial Unicode MS"/>
                <w:lang w:eastAsia="en-US"/>
              </w:rPr>
            </w:pPr>
            <w:r w:rsidRPr="007275D4">
              <w:t>Vikalähtö (silmukat 1–6)</w:t>
            </w:r>
          </w:p>
        </w:tc>
        <w:tc>
          <w:tcPr>
            <w:tcW w:w="2268" w:type="dxa"/>
            <w:shd w:val="pct10" w:color="auto" w:fill="auto"/>
            <w:tcMar>
              <w:left w:w="0" w:type="dxa"/>
              <w:right w:w="0" w:type="dxa"/>
            </w:tcMar>
          </w:tcPr>
          <w:p w:rsidR="002167CC" w:rsidRPr="007275D4" w:rsidRDefault="007B64FF" w:rsidP="002167CC">
            <w:pPr>
              <w:spacing w:after="120"/>
              <w:rPr>
                <w:rFonts w:eastAsia="Arial Unicode MS"/>
                <w:lang w:eastAsia="en-US"/>
              </w:rPr>
            </w:pPr>
            <w:r w:rsidRPr="007275D4">
              <w:t>Kelluvat liitännät 24 V, 1 A</w:t>
            </w:r>
          </w:p>
        </w:tc>
      </w:tr>
      <w:tr w:rsidR="002167CC" w:rsidRPr="007275D4" w:rsidTr="003C225F">
        <w:tc>
          <w:tcPr>
            <w:tcW w:w="2154" w:type="dxa"/>
            <w:shd w:val="clear" w:color="auto" w:fill="auto"/>
            <w:tcMar>
              <w:left w:w="0" w:type="dxa"/>
              <w:right w:w="0" w:type="dxa"/>
            </w:tcMar>
          </w:tcPr>
          <w:p w:rsidR="002167CC" w:rsidRPr="007275D4" w:rsidRDefault="002167CC" w:rsidP="002167CC">
            <w:pPr>
              <w:spacing w:after="120"/>
              <w:rPr>
                <w:rFonts w:eastAsia="Arial Unicode MS"/>
                <w:lang w:eastAsia="en-US"/>
              </w:rPr>
            </w:pPr>
            <w:r w:rsidRPr="007275D4">
              <w:t>Vikareleet paitsi yleisvikarele</w:t>
            </w:r>
          </w:p>
        </w:tc>
        <w:tc>
          <w:tcPr>
            <w:tcW w:w="2268" w:type="dxa"/>
            <w:shd w:val="pct10" w:color="auto" w:fill="auto"/>
            <w:tcMar>
              <w:left w:w="0" w:type="dxa"/>
              <w:right w:w="0" w:type="dxa"/>
            </w:tcMar>
          </w:tcPr>
          <w:p w:rsidR="002167CC" w:rsidRPr="007275D4" w:rsidRDefault="002167CC" w:rsidP="00A727AA">
            <w:pPr>
              <w:pStyle w:val="ListParagraph"/>
              <w:numPr>
                <w:ilvl w:val="0"/>
                <w:numId w:val="20"/>
              </w:numPr>
              <w:spacing w:after="120"/>
              <w:rPr>
                <w:rFonts w:eastAsia="Arial Unicode MS"/>
                <w:lang w:eastAsia="en-US"/>
              </w:rPr>
            </w:pPr>
            <w:r w:rsidRPr="007275D4">
              <w:t>OK-tila ilmaisee normaalisti virran katkaisun</w:t>
            </w:r>
          </w:p>
          <w:p w:rsidR="002167CC" w:rsidRPr="007275D4" w:rsidRDefault="002167CC" w:rsidP="00A727AA">
            <w:pPr>
              <w:pStyle w:val="ListParagraph"/>
              <w:numPr>
                <w:ilvl w:val="0"/>
                <w:numId w:val="20"/>
              </w:numPr>
              <w:spacing w:after="120"/>
              <w:rPr>
                <w:rFonts w:eastAsia="Arial Unicode MS"/>
                <w:lang w:eastAsia="en-US"/>
              </w:rPr>
            </w:pPr>
            <w:r w:rsidRPr="007275D4">
              <w:t>NO (normaalisti auki) on auki</w:t>
            </w:r>
          </w:p>
        </w:tc>
      </w:tr>
      <w:tr w:rsidR="002167CC" w:rsidRPr="007275D4" w:rsidTr="003C225F">
        <w:tc>
          <w:tcPr>
            <w:tcW w:w="2154" w:type="dxa"/>
            <w:shd w:val="clear" w:color="auto" w:fill="auto"/>
            <w:tcMar>
              <w:left w:w="0" w:type="dxa"/>
              <w:right w:w="0" w:type="dxa"/>
            </w:tcMar>
          </w:tcPr>
          <w:p w:rsidR="002167CC" w:rsidRPr="007275D4" w:rsidRDefault="002167CC" w:rsidP="002167CC">
            <w:pPr>
              <w:spacing w:after="120"/>
              <w:rPr>
                <w:rFonts w:eastAsia="Arial Unicode MS"/>
                <w:lang w:eastAsia="en-US"/>
              </w:rPr>
            </w:pPr>
            <w:r w:rsidRPr="007275D4">
              <w:t>Yleisvikarele</w:t>
            </w:r>
          </w:p>
        </w:tc>
        <w:tc>
          <w:tcPr>
            <w:tcW w:w="2268" w:type="dxa"/>
            <w:shd w:val="pct10" w:color="auto" w:fill="auto"/>
            <w:tcMar>
              <w:left w:w="0" w:type="dxa"/>
              <w:right w:w="0" w:type="dxa"/>
            </w:tcMar>
          </w:tcPr>
          <w:p w:rsidR="002167CC" w:rsidRPr="007275D4" w:rsidRDefault="002167CC" w:rsidP="00A727AA">
            <w:pPr>
              <w:pStyle w:val="ListParagraph"/>
              <w:numPr>
                <w:ilvl w:val="0"/>
                <w:numId w:val="20"/>
              </w:numPr>
              <w:spacing w:after="120"/>
              <w:rPr>
                <w:rFonts w:eastAsia="Arial Unicode MS"/>
                <w:lang w:eastAsia="en-US"/>
              </w:rPr>
            </w:pPr>
            <w:r w:rsidRPr="007275D4">
              <w:t>OK-tila ilmaisee varomekanismin, normaalivirta</w:t>
            </w:r>
          </w:p>
          <w:p w:rsidR="002167CC" w:rsidRPr="007275D4" w:rsidRDefault="002167CC" w:rsidP="00A727AA">
            <w:pPr>
              <w:pStyle w:val="ListParagraph"/>
              <w:numPr>
                <w:ilvl w:val="0"/>
                <w:numId w:val="20"/>
              </w:numPr>
              <w:spacing w:after="120"/>
              <w:rPr>
                <w:rFonts w:eastAsia="Arial Unicode MS"/>
                <w:lang w:eastAsia="en-US"/>
              </w:rPr>
            </w:pPr>
            <w:r w:rsidRPr="007275D4">
              <w:t>NC (normaalisti kiinni) on auki (varomekanismi)</w:t>
            </w:r>
          </w:p>
        </w:tc>
      </w:tr>
    </w:tbl>
    <w:p w:rsidR="002167CC" w:rsidRPr="007275D4" w:rsidRDefault="002167CC"/>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7275D4" w:rsidTr="003C225F">
        <w:tc>
          <w:tcPr>
            <w:tcW w:w="2154" w:type="dxa"/>
            <w:shd w:val="clear" w:color="auto" w:fill="auto"/>
            <w:tcMar>
              <w:left w:w="0" w:type="dxa"/>
              <w:right w:w="0" w:type="dxa"/>
            </w:tcMar>
          </w:tcPr>
          <w:p w:rsidR="00852259" w:rsidRPr="007275D4" w:rsidRDefault="00852259" w:rsidP="00BF02A9">
            <w:pPr>
              <w:spacing w:after="120"/>
              <w:rPr>
                <w:rFonts w:eastAsia="Arial Unicode MS"/>
                <w:b/>
                <w:lang w:eastAsia="en-US"/>
              </w:rPr>
            </w:pPr>
            <w:r w:rsidRPr="007275D4">
              <w:rPr>
                <w:b/>
              </w:rPr>
              <w:t>Suorituskyky</w:t>
            </w:r>
          </w:p>
        </w:tc>
        <w:tc>
          <w:tcPr>
            <w:tcW w:w="2268" w:type="dxa"/>
            <w:shd w:val="pct10" w:color="auto" w:fill="auto"/>
            <w:tcMar>
              <w:left w:w="0" w:type="dxa"/>
              <w:right w:w="0" w:type="dxa"/>
            </w:tcMar>
          </w:tcPr>
          <w:p w:rsidR="00852259" w:rsidRPr="007275D4" w:rsidRDefault="00852259" w:rsidP="00BF02A9">
            <w:pPr>
              <w:spacing w:after="120"/>
              <w:rPr>
                <w:rFonts w:eastAsia="Arial Unicode MS"/>
                <w:lang w:eastAsia="en-US"/>
              </w:rPr>
            </w:pPr>
          </w:p>
        </w:tc>
      </w:tr>
      <w:tr w:rsidR="00167823" w:rsidRPr="007275D4" w:rsidTr="003C225F">
        <w:tc>
          <w:tcPr>
            <w:tcW w:w="2154" w:type="dxa"/>
            <w:shd w:val="clear" w:color="auto" w:fill="auto"/>
            <w:tcMar>
              <w:left w:w="0" w:type="dxa"/>
              <w:right w:w="0" w:type="dxa"/>
            </w:tcMar>
          </w:tcPr>
          <w:p w:rsidR="00167823" w:rsidRPr="007275D4" w:rsidRDefault="00167823" w:rsidP="00167823">
            <w:pPr>
              <w:spacing w:after="120"/>
              <w:rPr>
                <w:rFonts w:eastAsia="Arial Unicode MS"/>
                <w:lang w:eastAsia="en-US"/>
              </w:rPr>
            </w:pPr>
            <w:r w:rsidRPr="007275D4">
              <w:t>Suurin mahdollinen eristinpiirien määrä silmukassa</w:t>
            </w:r>
          </w:p>
        </w:tc>
        <w:tc>
          <w:tcPr>
            <w:tcW w:w="2268" w:type="dxa"/>
            <w:shd w:val="pct10" w:color="auto" w:fill="auto"/>
            <w:tcMar>
              <w:left w:w="0" w:type="dxa"/>
              <w:right w:w="0" w:type="dxa"/>
            </w:tcMar>
          </w:tcPr>
          <w:p w:rsidR="00167823" w:rsidRPr="007275D4" w:rsidRDefault="00167823" w:rsidP="00167823">
            <w:pPr>
              <w:spacing w:after="120"/>
              <w:rPr>
                <w:rFonts w:eastAsia="Arial Unicode MS"/>
                <w:lang w:eastAsia="en-US"/>
              </w:rPr>
            </w:pPr>
            <w:r w:rsidRPr="007275D4">
              <w:t>50</w:t>
            </w:r>
          </w:p>
        </w:tc>
      </w:tr>
      <w:tr w:rsidR="00167823" w:rsidRPr="007275D4" w:rsidTr="003C225F">
        <w:tc>
          <w:tcPr>
            <w:tcW w:w="2154" w:type="dxa"/>
            <w:shd w:val="clear" w:color="auto" w:fill="auto"/>
            <w:tcMar>
              <w:left w:w="0" w:type="dxa"/>
              <w:right w:w="0" w:type="dxa"/>
            </w:tcMar>
          </w:tcPr>
          <w:p w:rsidR="00167823" w:rsidRPr="007275D4" w:rsidRDefault="00167823" w:rsidP="00167823">
            <w:pPr>
              <w:spacing w:after="120"/>
              <w:rPr>
                <w:rFonts w:eastAsia="Arial Unicode MS"/>
                <w:lang w:eastAsia="en-US"/>
              </w:rPr>
            </w:pPr>
            <w:r w:rsidRPr="007275D4">
              <w:t>Tehokapasiteetti silmukkaa kohti</w:t>
            </w:r>
          </w:p>
        </w:tc>
        <w:tc>
          <w:tcPr>
            <w:tcW w:w="2268" w:type="dxa"/>
            <w:shd w:val="pct10" w:color="auto" w:fill="auto"/>
            <w:tcMar>
              <w:left w:w="0" w:type="dxa"/>
              <w:right w:w="0" w:type="dxa"/>
            </w:tcMar>
          </w:tcPr>
          <w:p w:rsidR="00167823" w:rsidRPr="007275D4" w:rsidRDefault="00167823" w:rsidP="00167823">
            <w:pPr>
              <w:spacing w:after="120"/>
              <w:rPr>
                <w:rFonts w:eastAsia="Arial Unicode MS"/>
                <w:lang w:eastAsia="en-US"/>
              </w:rPr>
            </w:pPr>
            <w:r w:rsidRPr="007275D4">
              <w:t>500 W</w:t>
            </w:r>
          </w:p>
        </w:tc>
      </w:tr>
      <w:tr w:rsidR="00167823" w:rsidRPr="007275D4" w:rsidTr="003C225F">
        <w:tc>
          <w:tcPr>
            <w:tcW w:w="2154" w:type="dxa"/>
            <w:shd w:val="clear" w:color="auto" w:fill="auto"/>
            <w:tcMar>
              <w:left w:w="0" w:type="dxa"/>
              <w:right w:w="0" w:type="dxa"/>
            </w:tcMar>
          </w:tcPr>
          <w:p w:rsidR="00167823" w:rsidRPr="007275D4" w:rsidRDefault="00167823" w:rsidP="00167823">
            <w:pPr>
              <w:spacing w:after="120"/>
              <w:rPr>
                <w:rFonts w:eastAsia="Arial Unicode MS"/>
                <w:lang w:eastAsia="en-US"/>
              </w:rPr>
            </w:pPr>
            <w:r w:rsidRPr="007275D4">
              <w:t>Taajuusalue</w:t>
            </w:r>
          </w:p>
        </w:tc>
        <w:tc>
          <w:tcPr>
            <w:tcW w:w="2268" w:type="dxa"/>
            <w:shd w:val="pct10" w:color="auto" w:fill="auto"/>
            <w:tcMar>
              <w:left w:w="0" w:type="dxa"/>
              <w:right w:w="0" w:type="dxa"/>
            </w:tcMar>
          </w:tcPr>
          <w:p w:rsidR="00167823" w:rsidRPr="007275D4" w:rsidRDefault="00167823" w:rsidP="00167823">
            <w:pPr>
              <w:spacing w:after="120"/>
              <w:rPr>
                <w:rFonts w:eastAsia="Arial Unicode MS"/>
                <w:lang w:eastAsia="en-US"/>
              </w:rPr>
            </w:pPr>
            <w:r w:rsidRPr="007275D4">
              <w:t>50 Hz–20 kHz</w:t>
            </w:r>
          </w:p>
        </w:tc>
      </w:tr>
    </w:tbl>
    <w:p w:rsidR="00667208" w:rsidRPr="007275D4" w:rsidRDefault="00667208" w:rsidP="00167823">
      <w:pPr>
        <w:rPr>
          <w:rFonts w:eastAsia="Arial Unicode MS"/>
          <w:b/>
          <w:bCs/>
          <w:iCs/>
          <w:lang w:eastAsia="en-US"/>
        </w:rPr>
      </w:pPr>
    </w:p>
    <w:p w:rsidR="00667208" w:rsidRPr="007275D4" w:rsidRDefault="00667208" w:rsidP="00167823">
      <w:pPr>
        <w:rPr>
          <w:rFonts w:eastAsia="Arial Unicode MS"/>
          <w:b/>
          <w:bCs/>
          <w:iCs/>
          <w:lang w:eastAsia="en-US"/>
        </w:rPr>
      </w:pPr>
      <w:r w:rsidRPr="007275D4">
        <w:rPr>
          <w:rFonts w:eastAsia="Arial Unicode MS"/>
          <w:b/>
          <w:bCs/>
          <w:iCs/>
          <w:lang w:eastAsia="en-US"/>
        </w:rPr>
        <w:br w:type="column"/>
      </w:r>
      <w:r w:rsidRPr="007275D4">
        <w:rPr>
          <w:b/>
          <w:bCs/>
          <w:iCs/>
        </w:rPr>
        <w:lastRenderedPageBreak/>
        <w:t>Akun virrankulutus teholla 24 V</w:t>
      </w:r>
    </w:p>
    <w:p w:rsidR="006D5C90" w:rsidRPr="007275D4" w:rsidRDefault="006D5C90" w:rsidP="00167823">
      <w:pPr>
        <w:rPr>
          <w:rFonts w:eastAsia="Arial Unicode MS"/>
          <w:b/>
          <w:bCs/>
          <w:iCs/>
          <w:lang w:eastAsia="en-US"/>
        </w:rPr>
      </w:pPr>
    </w:p>
    <w:p w:rsidR="00667208" w:rsidRPr="007275D4" w:rsidRDefault="00667208" w:rsidP="00167823">
      <w:pPr>
        <w:rPr>
          <w:rFonts w:eastAsia="Arial Unicode MS"/>
          <w:b/>
          <w:bCs/>
          <w:iCs/>
          <w:lang w:eastAsia="en-US"/>
        </w:rPr>
      </w:pPr>
      <w:r w:rsidRPr="007275D4">
        <w:rPr>
          <w:rFonts w:eastAsia="Arial Unicode MS"/>
          <w:b/>
          <w:bCs/>
          <w:iCs/>
          <w:noProof/>
          <w:lang w:val="en-US" w:eastAsia="zh-TW" w:bidi="ar-SA"/>
        </w:rPr>
        <w:drawing>
          <wp:inline distT="0" distB="0" distL="0" distR="0" wp14:anchorId="0DCD78A7" wp14:editId="1E9A5AFD">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7275D4" w:rsidRDefault="00667208" w:rsidP="00167823">
      <w:pPr>
        <w:rPr>
          <w:rFonts w:eastAsia="Arial Unicode MS"/>
          <w:b/>
          <w:bCs/>
          <w:iCs/>
          <w:lang w:eastAsia="en-US"/>
        </w:rPr>
      </w:pPr>
    </w:p>
    <w:p w:rsidR="00667208" w:rsidRPr="007275D4" w:rsidRDefault="00667208" w:rsidP="00167823">
      <w:pPr>
        <w:rPr>
          <w:rFonts w:eastAsia="Arial Unicode MS"/>
          <w:b/>
          <w:bCs/>
          <w:iCs/>
          <w:lang w:eastAsia="en-US"/>
        </w:rPr>
      </w:pPr>
      <w:r w:rsidRPr="007275D4">
        <w:rPr>
          <w:b/>
          <w:bCs/>
          <w:iCs/>
        </w:rPr>
        <w:t>Akun virrankulutus teholla 48 V</w:t>
      </w:r>
    </w:p>
    <w:p w:rsidR="006D5C90" w:rsidRPr="007275D4" w:rsidRDefault="006D5C90" w:rsidP="00167823">
      <w:pPr>
        <w:rPr>
          <w:rFonts w:eastAsia="Arial Unicode MS"/>
          <w:b/>
          <w:bCs/>
          <w:iCs/>
          <w:lang w:eastAsia="en-US"/>
        </w:rPr>
      </w:pPr>
    </w:p>
    <w:p w:rsidR="006D5C90" w:rsidRPr="007275D4" w:rsidRDefault="00256493" w:rsidP="00167823">
      <w:pPr>
        <w:rPr>
          <w:rFonts w:eastAsia="Arial Unicode MS"/>
          <w:b/>
          <w:bCs/>
          <w:iCs/>
          <w:lang w:eastAsia="en-US"/>
        </w:rPr>
      </w:pPr>
      <w:r w:rsidRPr="007275D4">
        <w:rPr>
          <w:noProof/>
          <w:lang w:val="en-US" w:eastAsia="zh-TW" w:bidi="ar-SA"/>
        </w:rPr>
        <w:drawing>
          <wp:inline distT="0" distB="0" distL="0" distR="0" wp14:anchorId="22A157DB" wp14:editId="22B42C06">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7275D4" w:rsidRDefault="00667208" w:rsidP="00167823">
      <w:pPr>
        <w:rPr>
          <w:rFonts w:eastAsia="Arial Unicode MS"/>
          <w:b/>
          <w:bCs/>
          <w:iCs/>
          <w:lang w:eastAsia="en-US"/>
        </w:rPr>
      </w:pPr>
    </w:p>
    <w:p w:rsidR="00167823" w:rsidRPr="007275D4" w:rsidRDefault="00167823" w:rsidP="00167823">
      <w:pPr>
        <w:rPr>
          <w:rFonts w:eastAsia="Arial Unicode MS"/>
          <w:b/>
          <w:bCs/>
          <w:iCs/>
          <w:lang w:eastAsia="en-US"/>
        </w:rPr>
      </w:pPr>
      <w:r w:rsidRPr="007275D4">
        <w:rPr>
          <w:b/>
          <w:bCs/>
          <w:iCs/>
        </w:rPr>
        <w:t>Mekaaniset tiedot</w:t>
      </w:r>
    </w:p>
    <w:p w:rsidR="004A6BB8" w:rsidRPr="007275D4" w:rsidRDefault="004A6BB8" w:rsidP="00167823">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b/>
                <w:lang w:eastAsia="en-US"/>
              </w:rPr>
            </w:pPr>
            <w:r w:rsidRPr="007275D4">
              <w:rPr>
                <w:b/>
              </w:rPr>
              <w:t>Mitat (K x L x S)</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spacing w:val="-4"/>
                <w:lang w:eastAsia="en-US"/>
              </w:rPr>
            </w:pPr>
            <w:r w:rsidRPr="007275D4">
              <w:rPr>
                <w:spacing w:val="-4"/>
              </w:rPr>
              <w:t>19 tuuman telinekäyttöön, kiinnikkeet</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88 x 483 x 400 mm</w:t>
            </w:r>
            <w:r w:rsidRPr="007275D4">
              <w:br/>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   kiinnikkeiden edestä</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40 mm</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   kiinnikkeiden takaa</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360 mm</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Paino</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15,9 kg</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Kiinnitys</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19 tuuman teline</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Väri</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Harmaa ja hopea</w:t>
            </w:r>
          </w:p>
        </w:tc>
      </w:tr>
    </w:tbl>
    <w:p w:rsidR="00030544" w:rsidRPr="007275D4" w:rsidRDefault="00030544" w:rsidP="008C5967"/>
    <w:p w:rsidR="00030544" w:rsidRPr="007275D4" w:rsidRDefault="004A6BB8" w:rsidP="008C5967">
      <w:pPr>
        <w:rPr>
          <w:rFonts w:eastAsia="Arial Unicode MS"/>
          <w:b/>
          <w:bCs/>
          <w:iCs/>
          <w:lang w:eastAsia="en-US"/>
        </w:rPr>
      </w:pPr>
      <w:r w:rsidRPr="007275D4">
        <w:rPr>
          <w:b/>
          <w:bCs/>
          <w:iCs/>
        </w:rPr>
        <w:t>Käyttöympäristön tiedot</w:t>
      </w:r>
    </w:p>
    <w:p w:rsidR="00030544" w:rsidRPr="007275D4" w:rsidRDefault="00030544"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Käyttölämpötila</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–5...+55 ºC</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Säilytyslämpötila</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–20...+70 ºC</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Suhteellinen kosteus</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15 - 90 %</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Ilmanpaine</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600 - 1100 hPa</w:t>
            </w:r>
          </w:p>
        </w:tc>
      </w:tr>
    </w:tbl>
    <w:p w:rsidR="00030544" w:rsidRPr="007275D4" w:rsidRDefault="004A6BB8" w:rsidP="00994CB4">
      <w:pPr>
        <w:pStyle w:val="Heading2"/>
        <w:pageBreakBefore/>
        <w:ind w:left="504" w:hanging="504"/>
      </w:pPr>
      <w:bookmarkStart w:id="26" w:name="_Toc386022860"/>
      <w:r w:rsidRPr="007275D4">
        <w:lastRenderedPageBreak/>
        <w:t>Eristinpiiri</w:t>
      </w:r>
      <w:bookmarkEnd w:id="26"/>
    </w:p>
    <w:p w:rsidR="004A6BB8" w:rsidRPr="007275D4" w:rsidRDefault="004A6BB8" w:rsidP="008C5967"/>
    <w:p w:rsidR="004A6BB8" w:rsidRPr="007275D4" w:rsidRDefault="004A6BB8" w:rsidP="004A6BB8">
      <w:pPr>
        <w:rPr>
          <w:rFonts w:eastAsia="Arial Unicode MS"/>
          <w:b/>
          <w:bCs/>
          <w:iCs/>
          <w:lang w:eastAsia="en-US"/>
        </w:rPr>
      </w:pPr>
      <w:r w:rsidRPr="007275D4">
        <w:rPr>
          <w:b/>
          <w:bCs/>
          <w:iCs/>
        </w:rPr>
        <w:t>Sähköominaisuudet</w:t>
      </w:r>
    </w:p>
    <w:p w:rsidR="004A6BB8" w:rsidRPr="007275D4"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Kaiuttimen silmukkaliitäntä</w:t>
            </w:r>
          </w:p>
        </w:tc>
        <w:tc>
          <w:tcPr>
            <w:tcW w:w="2268" w:type="dxa"/>
            <w:shd w:val="pct10" w:color="auto" w:fill="auto"/>
            <w:tcMar>
              <w:left w:w="0" w:type="dxa"/>
              <w:right w:w="0" w:type="dxa"/>
            </w:tcMar>
          </w:tcPr>
          <w:p w:rsidR="004A6BB8" w:rsidRPr="007275D4" w:rsidRDefault="004A6BB8" w:rsidP="004A6BB8">
            <w:pPr>
              <w:spacing w:after="120"/>
              <w:rPr>
                <w:rFonts w:eastAsia="Arial Unicode MS"/>
                <w:spacing w:val="-4"/>
                <w:lang w:eastAsia="en-US"/>
              </w:rPr>
            </w:pPr>
            <w:r w:rsidRPr="007275D4">
              <w:rPr>
                <w:spacing w:val="-4"/>
              </w:rPr>
              <w:t xml:space="preserve">120 VAC, ääni, </w:t>
            </w:r>
            <w:r w:rsidR="005C537E">
              <w:rPr>
                <w:spacing w:val="-4"/>
              </w:rPr>
              <w:br/>
            </w:r>
            <w:r w:rsidRPr="007275D4">
              <w:rPr>
                <w:spacing w:val="-4"/>
              </w:rPr>
              <w:t>enintään 5 A</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Kaiutinsilmukan enimmäiskuormitus</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500 W</w:t>
            </w:r>
          </w:p>
        </w:tc>
      </w:tr>
      <w:tr w:rsidR="004A6BB8" w:rsidRPr="007275D4" w:rsidTr="003C225F">
        <w:tc>
          <w:tcPr>
            <w:tcW w:w="2154" w:type="dxa"/>
            <w:shd w:val="clear" w:color="auto" w:fill="auto"/>
            <w:tcMar>
              <w:left w:w="0" w:type="dxa"/>
              <w:right w:w="0" w:type="dxa"/>
            </w:tcMar>
          </w:tcPr>
          <w:p w:rsidR="004A6BB8" w:rsidRPr="007275D4" w:rsidRDefault="006442CA" w:rsidP="004A6BB8">
            <w:pPr>
              <w:spacing w:after="120"/>
              <w:rPr>
                <w:rFonts w:eastAsia="Arial Unicode MS"/>
                <w:lang w:eastAsia="en-US"/>
              </w:rPr>
            </w:pPr>
            <w:r w:rsidRPr="007275D4">
              <w:t>Välioton enimmäiskuormitus</w:t>
            </w:r>
            <w:r w:rsidR="004A6BB8" w:rsidRPr="007275D4">
              <w:rPr>
                <w:rFonts w:eastAsia="Arial Unicode MS"/>
                <w:lang w:eastAsia="en-US"/>
              </w:rPr>
              <w:noBreakHyphen/>
              <w:t>off</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100 W</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Vikailmoituksen testin merkkivalo</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Keltainen</w:t>
            </w:r>
          </w:p>
        </w:tc>
      </w:tr>
      <w:tr w:rsidR="004A6BB8" w:rsidRPr="007275D4" w:rsidTr="003C225F">
        <w:tc>
          <w:tcPr>
            <w:tcW w:w="2154" w:type="dxa"/>
            <w:shd w:val="clear" w:color="auto" w:fill="auto"/>
            <w:tcMar>
              <w:left w:w="0" w:type="dxa"/>
              <w:right w:w="0" w:type="dxa"/>
            </w:tcMar>
          </w:tcPr>
          <w:p w:rsidR="004A6BB8" w:rsidRPr="007275D4" w:rsidRDefault="004A6BB8" w:rsidP="004A6BB8">
            <w:pPr>
              <w:spacing w:after="120"/>
              <w:rPr>
                <w:rFonts w:eastAsia="Arial Unicode MS"/>
                <w:lang w:eastAsia="en-US"/>
              </w:rPr>
            </w:pPr>
            <w:r w:rsidRPr="007275D4">
              <w:t>Testipainike</w:t>
            </w:r>
          </w:p>
        </w:tc>
        <w:tc>
          <w:tcPr>
            <w:tcW w:w="2268" w:type="dxa"/>
            <w:shd w:val="pct10" w:color="auto" w:fill="auto"/>
            <w:tcMar>
              <w:left w:w="0" w:type="dxa"/>
              <w:right w:w="0" w:type="dxa"/>
            </w:tcMar>
          </w:tcPr>
          <w:p w:rsidR="004A6BB8" w:rsidRPr="007275D4" w:rsidRDefault="004A6BB8" w:rsidP="004A6BB8">
            <w:pPr>
              <w:spacing w:after="120"/>
              <w:rPr>
                <w:rFonts w:eastAsia="Arial Unicode MS"/>
                <w:lang w:eastAsia="en-US"/>
              </w:rPr>
            </w:pPr>
            <w:r w:rsidRPr="007275D4">
              <w:t>Pito-ohjaus</w:t>
            </w:r>
          </w:p>
        </w:tc>
      </w:tr>
    </w:tbl>
    <w:p w:rsidR="004A6BB8" w:rsidRPr="007275D4" w:rsidRDefault="004A6BB8" w:rsidP="008C5967"/>
    <w:p w:rsidR="004A6BB8" w:rsidRPr="007275D4" w:rsidRDefault="004A6BB8" w:rsidP="004A6BB8">
      <w:pPr>
        <w:rPr>
          <w:rFonts w:eastAsia="Arial Unicode MS"/>
          <w:b/>
          <w:bCs/>
          <w:iCs/>
          <w:lang w:eastAsia="en-US"/>
        </w:rPr>
      </w:pPr>
      <w:r w:rsidRPr="007275D4">
        <w:rPr>
          <w:b/>
          <w:bCs/>
          <w:iCs/>
        </w:rPr>
        <w:t>Mekaaniset tiedot</w:t>
      </w:r>
    </w:p>
    <w:p w:rsidR="004A6BB8" w:rsidRPr="007275D4"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Mitat (K x L x S)</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78 x 60 x 32 mm</w:t>
            </w:r>
          </w:p>
          <w:p w:rsidR="0046262D" w:rsidRPr="007275D4" w:rsidRDefault="0046262D" w:rsidP="0046262D">
            <w:pPr>
              <w:spacing w:after="120"/>
              <w:rPr>
                <w:rFonts w:eastAsia="Arial Unicode MS"/>
                <w:lang w:eastAsia="en-US"/>
              </w:rPr>
            </w:pPr>
            <w:r w:rsidRPr="007275D4">
              <w:t>(3,0 x 2,3 x 0,6 in)</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Kotelo</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150 x 150 x 75 mm</w:t>
            </w:r>
          </w:p>
          <w:p w:rsidR="0046262D" w:rsidRPr="007275D4" w:rsidRDefault="0046262D" w:rsidP="0046262D">
            <w:pPr>
              <w:spacing w:after="120"/>
              <w:rPr>
                <w:rFonts w:eastAsia="Arial Unicode MS"/>
                <w:lang w:eastAsia="en-US"/>
              </w:rPr>
            </w:pPr>
            <w:r w:rsidRPr="007275D4">
              <w:t>(5,9 x 5,9 x 2,9 in)</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Asennusvaihtoehdot</w:t>
            </w:r>
          </w:p>
        </w:tc>
        <w:tc>
          <w:tcPr>
            <w:tcW w:w="2268" w:type="dxa"/>
            <w:shd w:val="pct10" w:color="auto" w:fill="auto"/>
            <w:tcMar>
              <w:left w:w="0" w:type="dxa"/>
              <w:right w:w="0" w:type="dxa"/>
            </w:tcMar>
          </w:tcPr>
          <w:p w:rsidR="0046262D" w:rsidRPr="007275D4" w:rsidRDefault="0046262D" w:rsidP="00A727AA">
            <w:pPr>
              <w:pStyle w:val="ListParagraph"/>
              <w:numPr>
                <w:ilvl w:val="0"/>
                <w:numId w:val="21"/>
              </w:numPr>
              <w:spacing w:after="120"/>
              <w:rPr>
                <w:rFonts w:eastAsia="Arial Unicode MS"/>
                <w:lang w:eastAsia="en-US"/>
              </w:rPr>
            </w:pPr>
            <w:r w:rsidRPr="007275D4">
              <w:t>Valmis asennus mukana toimitetussa kotelossa</w:t>
            </w:r>
          </w:p>
          <w:p w:rsidR="0046262D" w:rsidRPr="007275D4" w:rsidRDefault="0046262D" w:rsidP="00A727AA">
            <w:pPr>
              <w:pStyle w:val="ListParagraph"/>
              <w:numPr>
                <w:ilvl w:val="0"/>
                <w:numId w:val="21"/>
              </w:numPr>
              <w:spacing w:after="120"/>
              <w:rPr>
                <w:rFonts w:eastAsia="Arial Unicode MS"/>
                <w:lang w:eastAsia="en-US"/>
              </w:rPr>
            </w:pPr>
            <w:r w:rsidRPr="007275D4">
              <w:t>Asennus kaiuttimen sisään</w:t>
            </w:r>
          </w:p>
          <w:p w:rsidR="0046262D" w:rsidRPr="007275D4" w:rsidRDefault="007B64FF" w:rsidP="00A727AA">
            <w:pPr>
              <w:pStyle w:val="ListParagraph"/>
              <w:numPr>
                <w:ilvl w:val="0"/>
                <w:numId w:val="21"/>
              </w:numPr>
              <w:spacing w:after="120"/>
              <w:rPr>
                <w:rFonts w:eastAsia="Arial Unicode MS"/>
                <w:lang w:eastAsia="en-US"/>
              </w:rPr>
            </w:pPr>
            <w:r w:rsidRPr="007275D4">
              <w:t>Asennus IP</w:t>
            </w:r>
            <w:r w:rsidRPr="007275D4">
              <w:rPr>
                <w:rFonts w:eastAsia="Arial Unicode MS"/>
                <w:lang w:eastAsia="en-US"/>
              </w:rPr>
              <w:noBreakHyphen/>
            </w:r>
            <w:r w:rsidRPr="007275D4">
              <w:t>65-koteloon (lisävarusteena saatava kiinnityspidike LBB 4446/00 vaaditaan)</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Paino</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Noin 180 g</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Väri</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Punainen</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spacing w:val="-2"/>
                <w:lang w:eastAsia="en-US"/>
              </w:rPr>
            </w:pPr>
            <w:r w:rsidRPr="007275D4">
              <w:rPr>
                <w:spacing w:val="-2"/>
              </w:rPr>
              <w:t>Tulenkesto-ominaisuudet</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UL60065</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IP-luokitus</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IP30</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Läpivientiaukot johtoja varten</w:t>
            </w:r>
          </w:p>
        </w:tc>
        <w:tc>
          <w:tcPr>
            <w:tcW w:w="2268" w:type="dxa"/>
            <w:shd w:val="pct10" w:color="auto" w:fill="auto"/>
            <w:tcMar>
              <w:left w:w="0" w:type="dxa"/>
              <w:right w:w="0" w:type="dxa"/>
            </w:tcMar>
          </w:tcPr>
          <w:p w:rsidR="0046262D" w:rsidRPr="007275D4" w:rsidRDefault="0046262D" w:rsidP="00A727AA">
            <w:pPr>
              <w:pStyle w:val="ListParagraph"/>
              <w:numPr>
                <w:ilvl w:val="0"/>
                <w:numId w:val="22"/>
              </w:numPr>
              <w:spacing w:after="120"/>
              <w:rPr>
                <w:rFonts w:eastAsia="Arial Unicode MS"/>
                <w:lang w:eastAsia="en-US"/>
              </w:rPr>
            </w:pPr>
            <w:r w:rsidRPr="007275D4">
              <w:t>3 aukkoa 6 mm:n johtoja varten</w:t>
            </w:r>
          </w:p>
          <w:p w:rsidR="0046262D" w:rsidRPr="007275D4" w:rsidRDefault="0046262D" w:rsidP="00A727AA">
            <w:pPr>
              <w:pStyle w:val="ListParagraph"/>
              <w:numPr>
                <w:ilvl w:val="0"/>
                <w:numId w:val="22"/>
              </w:numPr>
              <w:spacing w:after="120"/>
              <w:rPr>
                <w:rFonts w:eastAsia="Arial Unicode MS"/>
                <w:lang w:eastAsia="en-US"/>
              </w:rPr>
            </w:pPr>
            <w:r w:rsidRPr="007275D4">
              <w:t>3 aukkoa 9 mm:n johtoja varten</w:t>
            </w:r>
          </w:p>
        </w:tc>
      </w:tr>
    </w:tbl>
    <w:p w:rsidR="004A6BB8" w:rsidRPr="007275D4" w:rsidRDefault="004A6BB8" w:rsidP="008C5967"/>
    <w:p w:rsidR="0046262D" w:rsidRPr="007275D4" w:rsidRDefault="0046262D" w:rsidP="0046262D">
      <w:pPr>
        <w:rPr>
          <w:rFonts w:eastAsia="Arial Unicode MS"/>
          <w:b/>
          <w:bCs/>
          <w:iCs/>
          <w:lang w:eastAsia="en-US"/>
        </w:rPr>
      </w:pPr>
      <w:r w:rsidRPr="007275D4">
        <w:rPr>
          <w:b/>
          <w:bCs/>
          <w:iCs/>
        </w:rPr>
        <w:t>Käyttöympäristön tiedot</w:t>
      </w:r>
    </w:p>
    <w:p w:rsidR="0046262D" w:rsidRPr="007275D4"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Käyttölämpötila</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–5...+55 ºC</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Säilytyslämpötila</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–20...+70 ºC</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Suhteellinen kosteus</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15 - 90 %</w:t>
            </w:r>
          </w:p>
        </w:tc>
      </w:tr>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Ilmanpaine</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600 - 1100 hPa</w:t>
            </w:r>
          </w:p>
        </w:tc>
      </w:tr>
    </w:tbl>
    <w:p w:rsidR="00255D7C" w:rsidRPr="007275D4" w:rsidRDefault="00255D7C" w:rsidP="00255D7C">
      <w:pPr>
        <w:pStyle w:val="Heading2"/>
        <w:numPr>
          <w:ilvl w:val="0"/>
          <w:numId w:val="0"/>
        </w:numPr>
        <w:ind w:left="510"/>
        <w:rPr>
          <w:sz w:val="2"/>
          <w:szCs w:val="2"/>
        </w:rPr>
      </w:pPr>
    </w:p>
    <w:p w:rsidR="0046262D" w:rsidRPr="007275D4" w:rsidRDefault="0046262D" w:rsidP="00994CB4">
      <w:pPr>
        <w:pStyle w:val="Heading2"/>
        <w:spacing w:before="300"/>
        <w:ind w:left="504" w:hanging="504"/>
      </w:pPr>
      <w:bookmarkStart w:id="27" w:name="_Toc386022861"/>
      <w:r w:rsidRPr="007275D4">
        <w:t>Linjapäätevastus</w:t>
      </w:r>
      <w:bookmarkEnd w:id="27"/>
    </w:p>
    <w:p w:rsidR="0046262D" w:rsidRPr="007275D4" w:rsidRDefault="0046262D" w:rsidP="0046262D"/>
    <w:p w:rsidR="0046262D" w:rsidRPr="007275D4" w:rsidRDefault="0046262D" w:rsidP="0046262D">
      <w:pPr>
        <w:rPr>
          <w:rFonts w:eastAsia="Arial Unicode MS"/>
          <w:b/>
          <w:bCs/>
          <w:iCs/>
          <w:lang w:eastAsia="en-US"/>
        </w:rPr>
      </w:pPr>
      <w:r w:rsidRPr="007275D4">
        <w:rPr>
          <w:b/>
          <w:bCs/>
          <w:iCs/>
        </w:rPr>
        <w:t>Sähköominaisuudet</w:t>
      </w:r>
    </w:p>
    <w:p w:rsidR="0046262D" w:rsidRPr="007275D4"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7275D4" w:rsidTr="003C225F">
        <w:tc>
          <w:tcPr>
            <w:tcW w:w="2154" w:type="dxa"/>
            <w:shd w:val="clear" w:color="auto" w:fill="auto"/>
            <w:tcMar>
              <w:left w:w="0" w:type="dxa"/>
              <w:right w:w="0" w:type="dxa"/>
            </w:tcMar>
          </w:tcPr>
          <w:p w:rsidR="0046262D" w:rsidRPr="007275D4" w:rsidRDefault="0046262D" w:rsidP="0046262D">
            <w:pPr>
              <w:spacing w:after="120"/>
              <w:rPr>
                <w:rFonts w:eastAsia="Arial Unicode MS"/>
                <w:lang w:eastAsia="en-US"/>
              </w:rPr>
            </w:pPr>
            <w:r w:rsidRPr="007275D4">
              <w:t>Linjapäätevastus</w:t>
            </w:r>
          </w:p>
        </w:tc>
        <w:tc>
          <w:tcPr>
            <w:tcW w:w="2268" w:type="dxa"/>
            <w:shd w:val="pct10" w:color="auto" w:fill="auto"/>
            <w:tcMar>
              <w:left w:w="0" w:type="dxa"/>
              <w:right w:w="0" w:type="dxa"/>
            </w:tcMar>
          </w:tcPr>
          <w:p w:rsidR="0046262D" w:rsidRPr="007275D4" w:rsidRDefault="0046262D" w:rsidP="0046262D">
            <w:pPr>
              <w:spacing w:after="120"/>
              <w:rPr>
                <w:rFonts w:eastAsia="Arial Unicode MS"/>
                <w:lang w:eastAsia="en-US"/>
              </w:rPr>
            </w:pPr>
            <w:r w:rsidRPr="007275D4">
              <w:t>47 kohm, &gt;0,5 W:n vastus</w:t>
            </w:r>
          </w:p>
        </w:tc>
      </w:tr>
    </w:tbl>
    <w:p w:rsidR="0046262D" w:rsidRPr="007275D4" w:rsidRDefault="00A727AA" w:rsidP="0046262D">
      <w:pPr>
        <w:pStyle w:val="Heading2"/>
      </w:pPr>
      <w:bookmarkStart w:id="28" w:name="_Toc386022862"/>
      <w:r w:rsidRPr="007275D4">
        <w:t>DC-estopiiri</w:t>
      </w:r>
      <w:bookmarkEnd w:id="28"/>
    </w:p>
    <w:p w:rsidR="0046262D" w:rsidRPr="007275D4" w:rsidRDefault="0046262D" w:rsidP="008C5967"/>
    <w:p w:rsidR="00A727AA" w:rsidRPr="007275D4" w:rsidRDefault="00A727AA" w:rsidP="00A727AA">
      <w:pPr>
        <w:rPr>
          <w:rFonts w:eastAsia="Arial Unicode MS"/>
          <w:b/>
          <w:bCs/>
          <w:iCs/>
          <w:lang w:eastAsia="en-US"/>
        </w:rPr>
      </w:pPr>
      <w:r w:rsidRPr="007275D4">
        <w:rPr>
          <w:b/>
          <w:bCs/>
          <w:iCs/>
        </w:rPr>
        <w:t>Sähköominaisuudet</w:t>
      </w:r>
    </w:p>
    <w:p w:rsidR="0046262D" w:rsidRPr="007275D4" w:rsidRDefault="0046262D"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Kaiuttimen silmukkaliitäntä X1, X2</w:t>
            </w:r>
          </w:p>
        </w:tc>
        <w:tc>
          <w:tcPr>
            <w:tcW w:w="2268" w:type="dxa"/>
            <w:shd w:val="pct10" w:color="auto" w:fill="auto"/>
            <w:tcMar>
              <w:left w:w="0" w:type="dxa"/>
              <w:right w:w="0" w:type="dxa"/>
            </w:tcMar>
          </w:tcPr>
          <w:p w:rsidR="00A727AA" w:rsidRPr="007275D4" w:rsidRDefault="00A727AA" w:rsidP="00A727AA">
            <w:pPr>
              <w:spacing w:after="120"/>
              <w:rPr>
                <w:rFonts w:eastAsia="Arial Unicode MS"/>
                <w:spacing w:val="-4"/>
                <w:lang w:eastAsia="en-US"/>
              </w:rPr>
            </w:pPr>
            <w:r w:rsidRPr="007275D4">
              <w:rPr>
                <w:spacing w:val="-4"/>
              </w:rPr>
              <w:t xml:space="preserve">120 VAC, ääni, </w:t>
            </w:r>
            <w:r w:rsidR="000A2529">
              <w:rPr>
                <w:spacing w:val="-4"/>
              </w:rPr>
              <w:br/>
            </w:r>
            <w:r w:rsidRPr="007275D4">
              <w:rPr>
                <w:spacing w:val="-4"/>
              </w:rPr>
              <w:t>enintään 5 A</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Kaiutinsilmukan enimmäiskuormitus</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500 W</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Väliotto X3</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20 W väliotossa</w:t>
            </w:r>
            <w:r w:rsidRPr="007275D4">
              <w:rPr>
                <w:rFonts w:eastAsia="Arial Unicode MS"/>
                <w:lang w:eastAsia="en-US"/>
              </w:rPr>
              <w:noBreakHyphen/>
              <w:t>off</w:t>
            </w:r>
          </w:p>
        </w:tc>
        <w:bookmarkStart w:id="29" w:name="_GoBack"/>
        <w:bookmarkEnd w:id="29"/>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Ylipäästösuodatin</w:t>
            </w:r>
          </w:p>
        </w:tc>
        <w:tc>
          <w:tcPr>
            <w:tcW w:w="2268" w:type="dxa"/>
            <w:shd w:val="pct10" w:color="auto" w:fill="auto"/>
            <w:tcMar>
              <w:left w:w="0" w:type="dxa"/>
              <w:right w:w="0" w:type="dxa"/>
            </w:tcMar>
          </w:tcPr>
          <w:p w:rsidR="00A727AA" w:rsidRPr="007275D4" w:rsidRDefault="00A727AA" w:rsidP="00A727AA">
            <w:pPr>
              <w:pStyle w:val="ListParagraph"/>
              <w:numPr>
                <w:ilvl w:val="0"/>
                <w:numId w:val="23"/>
              </w:numPr>
              <w:spacing w:after="120"/>
              <w:rPr>
                <w:rFonts w:eastAsia="Arial Unicode MS"/>
                <w:lang w:eastAsia="en-US"/>
              </w:rPr>
            </w:pPr>
            <w:r w:rsidRPr="007275D4">
              <w:t>67 Hz kuormituksella 20 W</w:t>
            </w:r>
          </w:p>
          <w:p w:rsidR="00A727AA" w:rsidRPr="007275D4" w:rsidRDefault="00A727AA" w:rsidP="00A727AA">
            <w:pPr>
              <w:pStyle w:val="ListParagraph"/>
              <w:numPr>
                <w:ilvl w:val="0"/>
                <w:numId w:val="23"/>
              </w:numPr>
              <w:spacing w:after="120"/>
              <w:rPr>
                <w:rFonts w:eastAsia="Arial Unicode MS"/>
                <w:lang w:eastAsia="en-US"/>
              </w:rPr>
            </w:pPr>
            <w:r w:rsidRPr="007275D4">
              <w:t>34 Hz kuormituksella 10 W</w:t>
            </w:r>
          </w:p>
        </w:tc>
      </w:tr>
    </w:tbl>
    <w:p w:rsidR="0046262D" w:rsidRPr="007275D4" w:rsidRDefault="0046262D" w:rsidP="008C5967"/>
    <w:p w:rsidR="00A727AA" w:rsidRPr="007275D4" w:rsidRDefault="00A727AA" w:rsidP="00A727AA">
      <w:pPr>
        <w:rPr>
          <w:rFonts w:eastAsia="Arial Unicode MS"/>
          <w:b/>
          <w:bCs/>
          <w:iCs/>
          <w:lang w:eastAsia="en-US"/>
        </w:rPr>
      </w:pPr>
      <w:r w:rsidRPr="007275D4">
        <w:rPr>
          <w:b/>
          <w:bCs/>
          <w:iCs/>
        </w:rPr>
        <w:t>Mekaaniset tiedot</w:t>
      </w:r>
    </w:p>
    <w:p w:rsidR="00A727AA" w:rsidRPr="007275D4"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Mitat (K x L x S)</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60 x 45 x 30 mm</w:t>
            </w:r>
          </w:p>
          <w:p w:rsidR="00A727AA" w:rsidRPr="007275D4" w:rsidRDefault="00A727AA" w:rsidP="00A727AA">
            <w:pPr>
              <w:spacing w:after="120"/>
              <w:rPr>
                <w:rFonts w:eastAsia="Arial Unicode MS"/>
                <w:lang w:eastAsia="en-US"/>
              </w:rPr>
            </w:pPr>
            <w:r w:rsidRPr="007275D4">
              <w:rPr>
                <w:rFonts w:eastAsia="Arial Unicode MS"/>
                <w:lang w:eastAsia="en-US"/>
              </w:rPr>
              <w:t>(2.7 x 1.8 x 0.6 in)</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Kiinnitys</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Asennus kaiuttimen sisälle (lisävarusteena saatava kiinnityspidike LBB 4446/00 vaaditaan)</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Paino</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Noin 16 g</w:t>
            </w:r>
          </w:p>
        </w:tc>
      </w:tr>
    </w:tbl>
    <w:p w:rsidR="0046262D" w:rsidRPr="007275D4" w:rsidRDefault="0046262D" w:rsidP="008C5967"/>
    <w:p w:rsidR="00A727AA" w:rsidRPr="007275D4" w:rsidRDefault="00A727AA" w:rsidP="00A727AA">
      <w:pPr>
        <w:rPr>
          <w:rFonts w:eastAsia="Arial Unicode MS"/>
          <w:b/>
          <w:bCs/>
          <w:iCs/>
          <w:lang w:eastAsia="en-US"/>
        </w:rPr>
      </w:pPr>
      <w:r w:rsidRPr="007275D4">
        <w:rPr>
          <w:b/>
          <w:bCs/>
          <w:iCs/>
        </w:rPr>
        <w:t>Käyttöympäristön tiedot</w:t>
      </w:r>
    </w:p>
    <w:p w:rsidR="00A727AA" w:rsidRPr="007275D4"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Käyttölämpötila</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–5...+55 ºC</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Säilytyslämpötila</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–20...+70 ºC</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Suhteellinen kosteus</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15 - 90 %</w:t>
            </w:r>
          </w:p>
        </w:tc>
      </w:tr>
      <w:tr w:rsidR="00A727AA" w:rsidRPr="007275D4" w:rsidTr="003C225F">
        <w:tc>
          <w:tcPr>
            <w:tcW w:w="2154" w:type="dxa"/>
            <w:shd w:val="clear" w:color="auto" w:fill="auto"/>
            <w:tcMar>
              <w:left w:w="0" w:type="dxa"/>
              <w:right w:w="0" w:type="dxa"/>
            </w:tcMar>
          </w:tcPr>
          <w:p w:rsidR="00A727AA" w:rsidRPr="007275D4" w:rsidRDefault="00A727AA" w:rsidP="00A727AA">
            <w:pPr>
              <w:spacing w:after="120"/>
              <w:rPr>
                <w:rFonts w:eastAsia="Arial Unicode MS"/>
                <w:lang w:eastAsia="en-US"/>
              </w:rPr>
            </w:pPr>
            <w:r w:rsidRPr="007275D4">
              <w:t>Ilmanpaine</w:t>
            </w:r>
          </w:p>
        </w:tc>
        <w:tc>
          <w:tcPr>
            <w:tcW w:w="2268" w:type="dxa"/>
            <w:shd w:val="pct10" w:color="auto" w:fill="auto"/>
            <w:tcMar>
              <w:left w:w="0" w:type="dxa"/>
              <w:right w:w="0" w:type="dxa"/>
            </w:tcMar>
          </w:tcPr>
          <w:p w:rsidR="00A727AA" w:rsidRPr="007275D4" w:rsidRDefault="00A727AA" w:rsidP="00A727AA">
            <w:pPr>
              <w:spacing w:after="120"/>
              <w:rPr>
                <w:rFonts w:eastAsia="Arial Unicode MS"/>
                <w:lang w:eastAsia="en-US"/>
              </w:rPr>
            </w:pPr>
            <w:r w:rsidRPr="007275D4">
              <w:t>600 - 1100 hPa</w:t>
            </w:r>
          </w:p>
        </w:tc>
      </w:tr>
    </w:tbl>
    <w:p w:rsidR="0046262D" w:rsidRPr="007275D4" w:rsidRDefault="0046262D" w:rsidP="008C5967"/>
    <w:p w:rsidR="0046262D" w:rsidRPr="007275D4" w:rsidRDefault="0046262D" w:rsidP="008C5967"/>
    <w:p w:rsidR="0050509F" w:rsidRPr="007275D4" w:rsidRDefault="0050509F"/>
    <w:p w:rsidR="003F3B3C" w:rsidRPr="007275D4" w:rsidRDefault="003F3B3C" w:rsidP="0073732E">
      <w:pPr>
        <w:tabs>
          <w:tab w:val="left" w:pos="1998"/>
        </w:tabs>
        <w:autoSpaceDE w:val="0"/>
        <w:sectPr w:rsidR="003F3B3C" w:rsidRPr="007275D4"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7275D4" w:rsidRDefault="003F3B3C">
      <w:pPr>
        <w:pStyle w:val="BodyTextIndent"/>
        <w:rPr>
          <w:lang w:val="fi-FI"/>
        </w:rPr>
      </w:pPr>
    </w:p>
    <w:p w:rsidR="00994CB4" w:rsidRPr="007275D4" w:rsidRDefault="00994CB4">
      <w:pPr>
        <w:pStyle w:val="Titel"/>
        <w:snapToGrid w:val="0"/>
        <w:sectPr w:rsidR="00994CB4" w:rsidRPr="007275D4" w:rsidSect="003F3B3C">
          <w:headerReference w:type="even" r:id="rId26"/>
          <w:headerReference w:type="default" r:id="rId27"/>
          <w:footerReference w:type="even" r:id="rId28"/>
          <w:footerReference w:type="default" r:id="rId29"/>
          <w:headerReference w:type="first" r:id="rId30"/>
          <w:footerReference w:type="first" r:id="rId31"/>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7275D4">
        <w:trPr>
          <w:trHeight w:val="1089"/>
        </w:trPr>
        <w:tc>
          <w:tcPr>
            <w:tcW w:w="9253" w:type="dxa"/>
            <w:shd w:val="clear" w:color="auto" w:fill="E6E6E6"/>
            <w:vAlign w:val="center"/>
          </w:tcPr>
          <w:p w:rsidR="003F3B3C" w:rsidRPr="007275D4" w:rsidRDefault="003F3B3C">
            <w:pPr>
              <w:pStyle w:val="Titel"/>
              <w:snapToGrid w:val="0"/>
            </w:pPr>
          </w:p>
        </w:tc>
      </w:tr>
      <w:tr w:rsidR="003F3B3C" w:rsidRPr="007275D4">
        <w:tblPrEx>
          <w:tblCellMar>
            <w:right w:w="0" w:type="dxa"/>
          </w:tblCellMar>
        </w:tblPrEx>
        <w:trPr>
          <w:trHeight w:val="4763"/>
        </w:trPr>
        <w:tc>
          <w:tcPr>
            <w:tcW w:w="9253" w:type="dxa"/>
            <w:shd w:val="clear" w:color="auto" w:fill="auto"/>
            <w:vAlign w:val="bottom"/>
          </w:tcPr>
          <w:p w:rsidR="003F3B3C" w:rsidRPr="007275D4" w:rsidRDefault="0048342F">
            <w:pPr>
              <w:rPr>
                <w:rFonts w:ascii="Arial" w:hAnsi="Arial" w:cs="Arial"/>
                <w:sz w:val="16"/>
              </w:rPr>
            </w:pPr>
            <w:r w:rsidRPr="007275D4">
              <w:rPr>
                <w:rFonts w:ascii="Arial" w:hAnsi="Arial" w:cs="Arial"/>
                <w:sz w:val="16"/>
              </w:rPr>
              <w:t xml:space="preserve">Lisätietoja on osoitteessa </w:t>
            </w:r>
            <w:hyperlink r:id="rId32" w:history="1">
              <w:r w:rsidRPr="007275D4">
                <w:rPr>
                  <w:rStyle w:val="Hyperlink"/>
                  <w:rFonts w:ascii="Arial" w:hAnsi="Arial"/>
                </w:rPr>
                <w:t>www.boschsecurity.com</w:t>
              </w:r>
            </w:hyperlink>
          </w:p>
          <w:p w:rsidR="003F3B3C" w:rsidRPr="007275D4" w:rsidRDefault="003F3B3C">
            <w:pPr>
              <w:rPr>
                <w:rFonts w:ascii="Arial" w:hAnsi="Arial" w:cs="Arial"/>
                <w:sz w:val="16"/>
              </w:rPr>
            </w:pPr>
          </w:p>
          <w:p w:rsidR="003F3B3C" w:rsidRPr="007275D4" w:rsidRDefault="003F3B3C">
            <w:pPr>
              <w:rPr>
                <w:rFonts w:ascii="Arial" w:hAnsi="Arial" w:cs="Arial"/>
                <w:sz w:val="16"/>
              </w:rPr>
            </w:pPr>
          </w:p>
          <w:p w:rsidR="003F3B3C" w:rsidRPr="007275D4" w:rsidRDefault="003F3B3C">
            <w:pPr>
              <w:rPr>
                <w:rFonts w:ascii="Arial" w:hAnsi="Arial" w:cs="Arial"/>
                <w:sz w:val="16"/>
              </w:rPr>
            </w:pPr>
          </w:p>
          <w:p w:rsidR="003F3B3C" w:rsidRPr="007275D4" w:rsidRDefault="003F3B3C">
            <w:pPr>
              <w:rPr>
                <w:rFonts w:ascii="Arial" w:hAnsi="Arial" w:cs="Arial"/>
                <w:sz w:val="16"/>
              </w:rPr>
            </w:pPr>
          </w:p>
          <w:p w:rsidR="003F3B3C" w:rsidRPr="007275D4" w:rsidRDefault="003F3B3C">
            <w:pPr>
              <w:rPr>
                <w:rFonts w:ascii="Arial" w:hAnsi="Arial" w:cs="Arial"/>
                <w:sz w:val="16"/>
              </w:rPr>
            </w:pPr>
          </w:p>
        </w:tc>
      </w:tr>
      <w:tr w:rsidR="003F3B3C" w:rsidRPr="007275D4">
        <w:tblPrEx>
          <w:tblCellMar>
            <w:top w:w="170" w:type="dxa"/>
            <w:right w:w="0" w:type="dxa"/>
          </w:tblCellMar>
        </w:tblPrEx>
        <w:trPr>
          <w:trHeight w:val="816"/>
        </w:trPr>
        <w:tc>
          <w:tcPr>
            <w:tcW w:w="9253" w:type="dxa"/>
            <w:shd w:val="clear" w:color="auto" w:fill="E6E6E6"/>
          </w:tcPr>
          <w:p w:rsidR="003F3B3C" w:rsidRPr="007275D4" w:rsidRDefault="00423BEA">
            <w:pPr>
              <w:rPr>
                <w:rFonts w:ascii="Arial" w:hAnsi="Arial" w:cs="Arial"/>
                <w:sz w:val="16"/>
              </w:rPr>
            </w:pPr>
            <w:r w:rsidRPr="007275D4">
              <w:rPr>
                <w:rFonts w:ascii="Arial" w:hAnsi="Arial" w:cs="Arial"/>
                <w:sz w:val="16"/>
              </w:rPr>
              <w:t>© 2014 Bosch Security System BV</w:t>
            </w:r>
          </w:p>
          <w:p w:rsidR="003F3B3C" w:rsidRPr="007275D4" w:rsidRDefault="0048342F">
            <w:pPr>
              <w:rPr>
                <w:rFonts w:ascii="Arial" w:hAnsi="Arial" w:cs="Arial"/>
                <w:sz w:val="16"/>
              </w:rPr>
            </w:pPr>
            <w:r w:rsidRPr="007275D4">
              <w:rPr>
                <w:rFonts w:ascii="Arial" w:hAnsi="Arial" w:cs="Arial"/>
                <w:sz w:val="16"/>
              </w:rPr>
              <w:t>Tiedot voivat muuttua ilman ennakkoilmoitusta</w:t>
            </w:r>
          </w:p>
          <w:p w:rsidR="003F3B3C" w:rsidRPr="007275D4" w:rsidRDefault="00825CA9" w:rsidP="00724560">
            <w:r w:rsidRPr="007275D4">
              <w:rPr>
                <w:rFonts w:ascii="Arial" w:hAnsi="Arial" w:cs="Arial"/>
                <w:sz w:val="16"/>
              </w:rPr>
              <w:t>03-2014  V1.1</w:t>
            </w:r>
          </w:p>
        </w:tc>
      </w:tr>
      <w:tr w:rsidR="003F3B3C" w:rsidRPr="007275D4">
        <w:tblPrEx>
          <w:tblCellMar>
            <w:left w:w="0" w:type="dxa"/>
            <w:right w:w="0" w:type="dxa"/>
          </w:tblCellMar>
        </w:tblPrEx>
        <w:trPr>
          <w:trHeight w:val="5851"/>
        </w:trPr>
        <w:tc>
          <w:tcPr>
            <w:tcW w:w="9253" w:type="dxa"/>
            <w:shd w:val="clear" w:color="auto" w:fill="E6E6E6"/>
          </w:tcPr>
          <w:p w:rsidR="003F3B3C" w:rsidRPr="007275D4" w:rsidRDefault="003F3B3C">
            <w:pPr>
              <w:pStyle w:val="Languages"/>
              <w:snapToGrid w:val="0"/>
            </w:pPr>
          </w:p>
        </w:tc>
      </w:tr>
    </w:tbl>
    <w:p w:rsidR="0048342F" w:rsidRPr="007275D4" w:rsidRDefault="00FC508C">
      <w:pPr>
        <w:pStyle w:val="BodyTextIndent"/>
        <w:ind w:left="0"/>
        <w:rPr>
          <w:lang w:val="fi-FI"/>
        </w:rPr>
      </w:pPr>
      <w:r w:rsidRPr="007275D4">
        <w:rPr>
          <w:noProof/>
          <w:lang w:val="en-US" w:eastAsia="zh-TW" w:bidi="ar-SA"/>
        </w:rPr>
        <w:drawing>
          <wp:anchor distT="0" distB="0" distL="114935" distR="114935" simplePos="0" relativeHeight="251660288" behindDoc="0" locked="0" layoutInCell="1" allowOverlap="1" wp14:anchorId="7509B63F" wp14:editId="10A18773">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7275D4" w:rsidSect="00994CB4">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994CB4">
    <w:pPr>
      <w:pStyle w:val="Footer"/>
      <w:ind w:left="-272"/>
    </w:pPr>
    <w:r>
      <w:rPr>
        <w:noProof/>
        <w:lang w:val="en-US" w:eastAsia="zh-TW" w:bidi="ar-SA"/>
      </w:rPr>
      <mc:AlternateContent>
        <mc:Choice Requires="wps">
          <w:drawing>
            <wp:anchor distT="0" distB="0" distL="114300" distR="114300" simplePos="0" relativeHeight="251657728" behindDoc="0" locked="0" layoutInCell="1" allowOverlap="1" wp14:anchorId="54454B50" wp14:editId="01670D4A">
              <wp:simplePos x="0" y="0"/>
              <wp:positionH relativeFrom="column">
                <wp:posOffset>-172720</wp:posOffset>
              </wp:positionH>
              <wp:positionV relativeFrom="page">
                <wp:posOffset>10153015</wp:posOffset>
              </wp:positionV>
              <wp:extent cx="6400800" cy="0"/>
              <wp:effectExtent l="12065" t="8890" r="698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Bosch Security Systems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Kaiuttimien linjaeristinjärjestelmän tekniset tiedot ja ominaisuudet</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fi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0A2529">
            <w:rPr>
              <w:rStyle w:val="Headerpagenumber"/>
              <w:noProof/>
            </w:rPr>
            <w:t>8</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26D8"/>
    <w:rsid w:val="00087DE8"/>
    <w:rsid w:val="000A0215"/>
    <w:rsid w:val="000A2529"/>
    <w:rsid w:val="000A543A"/>
    <w:rsid w:val="000C1DC2"/>
    <w:rsid w:val="000C31DD"/>
    <w:rsid w:val="000D3780"/>
    <w:rsid w:val="000D50E9"/>
    <w:rsid w:val="000F319B"/>
    <w:rsid w:val="0012523F"/>
    <w:rsid w:val="00137977"/>
    <w:rsid w:val="001410F3"/>
    <w:rsid w:val="0015141C"/>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55D7C"/>
    <w:rsid w:val="00256493"/>
    <w:rsid w:val="00275771"/>
    <w:rsid w:val="002825E5"/>
    <w:rsid w:val="00290A0E"/>
    <w:rsid w:val="002A011E"/>
    <w:rsid w:val="002A1F6F"/>
    <w:rsid w:val="002A3D24"/>
    <w:rsid w:val="002A5447"/>
    <w:rsid w:val="002A5CE5"/>
    <w:rsid w:val="002E16D2"/>
    <w:rsid w:val="002E46CA"/>
    <w:rsid w:val="002E7890"/>
    <w:rsid w:val="002F3FA9"/>
    <w:rsid w:val="00305562"/>
    <w:rsid w:val="00310184"/>
    <w:rsid w:val="00327F53"/>
    <w:rsid w:val="003316D1"/>
    <w:rsid w:val="00334225"/>
    <w:rsid w:val="00355108"/>
    <w:rsid w:val="00355E2F"/>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324F4"/>
    <w:rsid w:val="00561DFB"/>
    <w:rsid w:val="00567939"/>
    <w:rsid w:val="00567DEE"/>
    <w:rsid w:val="005A345C"/>
    <w:rsid w:val="005A631B"/>
    <w:rsid w:val="005B4E46"/>
    <w:rsid w:val="005B6025"/>
    <w:rsid w:val="005C537E"/>
    <w:rsid w:val="005D3071"/>
    <w:rsid w:val="005D5832"/>
    <w:rsid w:val="005E00C5"/>
    <w:rsid w:val="005E3C1B"/>
    <w:rsid w:val="005F4816"/>
    <w:rsid w:val="00602961"/>
    <w:rsid w:val="0061352F"/>
    <w:rsid w:val="00621324"/>
    <w:rsid w:val="006213D9"/>
    <w:rsid w:val="00622F81"/>
    <w:rsid w:val="006240DE"/>
    <w:rsid w:val="00624DF3"/>
    <w:rsid w:val="0063042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275D4"/>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51F1"/>
    <w:rsid w:val="00852259"/>
    <w:rsid w:val="00855316"/>
    <w:rsid w:val="008648E0"/>
    <w:rsid w:val="00871CAD"/>
    <w:rsid w:val="008764D5"/>
    <w:rsid w:val="0088532E"/>
    <w:rsid w:val="0089458B"/>
    <w:rsid w:val="008A158A"/>
    <w:rsid w:val="008C33E1"/>
    <w:rsid w:val="008C347D"/>
    <w:rsid w:val="008C5967"/>
    <w:rsid w:val="008D1879"/>
    <w:rsid w:val="008E2768"/>
    <w:rsid w:val="008E7193"/>
    <w:rsid w:val="00917B6F"/>
    <w:rsid w:val="00926193"/>
    <w:rsid w:val="009336D5"/>
    <w:rsid w:val="00941A6C"/>
    <w:rsid w:val="0095007F"/>
    <w:rsid w:val="00956148"/>
    <w:rsid w:val="009917C5"/>
    <w:rsid w:val="00994CB4"/>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F06A0"/>
    <w:rsid w:val="00AF65CF"/>
    <w:rsid w:val="00B2117E"/>
    <w:rsid w:val="00B254B1"/>
    <w:rsid w:val="00B3385D"/>
    <w:rsid w:val="00B34A59"/>
    <w:rsid w:val="00B61F1C"/>
    <w:rsid w:val="00B64CB3"/>
    <w:rsid w:val="00B70503"/>
    <w:rsid w:val="00B837B4"/>
    <w:rsid w:val="00BA7BEF"/>
    <w:rsid w:val="00BB21C5"/>
    <w:rsid w:val="00BC314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F1644"/>
    <w:rsid w:val="00D03A02"/>
    <w:rsid w:val="00D1529C"/>
    <w:rsid w:val="00D16DFD"/>
    <w:rsid w:val="00D32524"/>
    <w:rsid w:val="00D348CE"/>
    <w:rsid w:val="00D36B3B"/>
    <w:rsid w:val="00D544AD"/>
    <w:rsid w:val="00D56F34"/>
    <w:rsid w:val="00D71B82"/>
    <w:rsid w:val="00D7286F"/>
    <w:rsid w:val="00D74D94"/>
    <w:rsid w:val="00D904F2"/>
    <w:rsid w:val="00DA100F"/>
    <w:rsid w:val="00DB18A5"/>
    <w:rsid w:val="00DB3204"/>
    <w:rsid w:val="00DB5FDA"/>
    <w:rsid w:val="00E02F71"/>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F1177"/>
    <w:rsid w:val="00EF1D8B"/>
    <w:rsid w:val="00F13B66"/>
    <w:rsid w:val="00F2063D"/>
    <w:rsid w:val="00F44D19"/>
    <w:rsid w:val="00F55F27"/>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7.png"/><Relationship Id="rId32" Type="http://schemas.openxmlformats.org/officeDocument/2006/relationships/hyperlink" Target="http://www.boschsecurity.com/"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FCBA858C-4A2A-4F7A-91A4-891A5979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Template>
  <TotalTime>17</TotalTime>
  <Pages>9</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12</cp:revision>
  <cp:lastPrinted>2014-04-23T11:26:00Z</cp:lastPrinted>
  <dcterms:created xsi:type="dcterms:W3CDTF">2014-04-23T11:15:00Z</dcterms:created>
  <dcterms:modified xsi:type="dcterms:W3CDTF">2014-04-24T09:29:00Z</dcterms:modified>
</cp:coreProperties>
</file>