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8C347D">
        <w:trPr>
          <w:trHeight w:val="1089"/>
        </w:trPr>
        <w:tc>
          <w:tcPr>
            <w:tcW w:w="9259" w:type="dxa"/>
            <w:shd w:val="clear" w:color="auto" w:fill="E6E6E6"/>
            <w:vAlign w:val="center"/>
          </w:tcPr>
          <w:p w:rsidR="003F3B3C" w:rsidRPr="008C347D" w:rsidRDefault="006837A0">
            <w:pPr>
              <w:pStyle w:val="Titel"/>
            </w:pPr>
            <w:r>
              <w:t>Lautsprecher Linien-Isolator-System</w:t>
            </w:r>
          </w:p>
          <w:p w:rsidR="003F3B3C" w:rsidRPr="008C347D" w:rsidRDefault="003F3B3C">
            <w:pPr>
              <w:pStyle w:val="Titel"/>
            </w:pPr>
          </w:p>
        </w:tc>
      </w:tr>
      <w:tr w:rsidR="003F3B3C" w:rsidRPr="008C347D">
        <w:tblPrEx>
          <w:tblCellMar>
            <w:left w:w="0" w:type="dxa"/>
            <w:right w:w="0" w:type="dxa"/>
          </w:tblCellMar>
        </w:tblPrEx>
        <w:trPr>
          <w:trHeight w:val="4763"/>
        </w:trPr>
        <w:tc>
          <w:tcPr>
            <w:tcW w:w="9259" w:type="dxa"/>
            <w:shd w:val="clear" w:color="auto" w:fill="E6E6E6"/>
          </w:tcPr>
          <w:p w:rsidR="003F3B3C" w:rsidRPr="008C347D" w:rsidRDefault="00FB1C71">
            <w:pPr>
              <w:pStyle w:val="Titel"/>
              <w:snapToGrid w:val="0"/>
              <w:rPr>
                <w:sz w:val="20"/>
              </w:rPr>
            </w:pPr>
            <w:r>
              <w:rPr>
                <w:noProof/>
                <w:lang w:val="en-US" w:eastAsia="zh-TW"/>
              </w:rPr>
              <mc:AlternateContent>
                <mc:Choice Requires="wps">
                  <w:drawing>
                    <wp:anchor distT="0" distB="0" distL="114935" distR="114935" simplePos="0" relativeHeight="251661312" behindDoc="0" locked="0" layoutInCell="1" allowOverlap="1">
                      <wp:simplePos x="0" y="0"/>
                      <wp:positionH relativeFrom="column">
                        <wp:align>center</wp:align>
                      </wp:positionH>
                      <wp:positionV relativeFrom="paragraph">
                        <wp:posOffset>-1270</wp:posOffset>
                      </wp:positionV>
                      <wp:extent cx="5871210" cy="3020060"/>
                      <wp:effectExtent l="9525" t="8255" r="571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val="en-US" w:eastAsia="zh-TW"/>
                                    </w:rPr>
                                    <w:drawing>
                                      <wp:inline distT="0" distB="0" distL="0" distR="0">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9"/>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val="en-US" w:eastAsia="zh-TW"/>
                              </w:rPr>
                              <w:drawing>
                                <wp:inline distT="0" distB="0" distL="0" distR="0">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0"/>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8C347D">
        <w:tblPrEx>
          <w:tblCellMar>
            <w:left w:w="0" w:type="dxa"/>
            <w:right w:w="0" w:type="dxa"/>
          </w:tblCellMar>
        </w:tblPrEx>
        <w:trPr>
          <w:trHeight w:val="816"/>
        </w:trPr>
        <w:tc>
          <w:tcPr>
            <w:tcW w:w="9259" w:type="dxa"/>
            <w:shd w:val="clear" w:color="auto" w:fill="E6E6E6"/>
          </w:tcPr>
          <w:p w:rsidR="003F3B3C" w:rsidRPr="008C347D" w:rsidRDefault="003F3B3C">
            <w:pPr>
              <w:pStyle w:val="Titel"/>
              <w:snapToGrid w:val="0"/>
              <w:jc w:val="right"/>
            </w:pPr>
          </w:p>
        </w:tc>
      </w:tr>
      <w:tr w:rsidR="003F3B3C" w:rsidRPr="008C347D">
        <w:tblPrEx>
          <w:tblCellMar>
            <w:left w:w="0" w:type="dxa"/>
            <w:right w:w="0" w:type="dxa"/>
          </w:tblCellMar>
        </w:tblPrEx>
        <w:trPr>
          <w:trHeight w:val="7193"/>
        </w:trPr>
        <w:tc>
          <w:tcPr>
            <w:tcW w:w="9259" w:type="dxa"/>
            <w:shd w:val="clear" w:color="auto" w:fill="E6E6E6"/>
          </w:tcPr>
          <w:p w:rsidR="003F3B3C" w:rsidRPr="008C347D" w:rsidRDefault="00FB1C71">
            <w:pPr>
              <w:pStyle w:val="Languages"/>
              <w:ind w:left="6392" w:hanging="450"/>
              <w:jc w:val="left"/>
            </w:pPr>
            <w:r>
              <w:rPr>
                <w:noProof/>
                <w:lang w:val="en-US" w:eastAsia="zh-TW"/>
              </w:rPr>
              <mc:AlternateContent>
                <mc:Choice Requires="wps">
                  <w:drawing>
                    <wp:anchor distT="0" distB="0" distL="114300" distR="114300" simplePos="0" relativeHeight="251654144" behindDoc="0" locked="0" layoutInCell="1" allowOverlap="1">
                      <wp:simplePos x="0" y="0"/>
                      <wp:positionH relativeFrom="column">
                        <wp:posOffset>3749040</wp:posOffset>
                      </wp:positionH>
                      <wp:positionV relativeFrom="paragraph">
                        <wp:posOffset>39370</wp:posOffset>
                      </wp:positionV>
                      <wp:extent cx="0" cy="309880"/>
                      <wp:effectExtent l="12065" t="10795" r="698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1pt" to="29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" strokecolor="gray" strokeweight=".26mm">
                      <v:stroke joinstyle="miter" endcap="square"/>
                    </v:line>
                  </w:pict>
                </mc:Fallback>
              </mc:AlternateContent>
            </w:r>
            <w:r w:rsidR="00495EEA">
              <w:t>de</w:t>
            </w:r>
            <w:r w:rsidR="00495EEA">
              <w:tab/>
            </w:r>
            <w:bookmarkStart w:id="0" w:name="OLE_LINK5"/>
            <w:bookmarkStart w:id="1" w:name="OLE_LINK6"/>
            <w:r w:rsidR="00495EEA">
              <w:t>Spezifikation für</w:t>
            </w:r>
            <w:r w:rsidR="00495EEA">
              <w:br/>
              <w:t>Architekten und</w:t>
            </w:r>
            <w:r w:rsidR="00495EEA">
              <w:br/>
              <w:t>Ingenieure</w:t>
            </w:r>
            <w:r w:rsidR="0048342F" w:rsidRPr="008C347D">
              <w:br/>
            </w:r>
            <w:bookmarkEnd w:id="0"/>
            <w:bookmarkEnd w:id="1"/>
          </w:p>
          <w:p w:rsidR="003F3B3C" w:rsidRPr="008C347D" w:rsidRDefault="003F3B3C">
            <w:pPr>
              <w:pStyle w:val="Languages"/>
            </w:pPr>
          </w:p>
        </w:tc>
      </w:tr>
    </w:tbl>
    <w:p w:rsidR="003F3B3C" w:rsidRPr="008C347D" w:rsidRDefault="002A5447">
      <w:pPr>
        <w:pStyle w:val="Titel"/>
        <w:sectPr w:rsidR="003F3B3C" w:rsidRPr="008C347D">
          <w:footerReference w:type="default" r:id="rId11"/>
          <w:pgSz w:w="11906" w:h="16838"/>
          <w:pgMar w:top="907" w:right="1191" w:bottom="1890" w:left="2007" w:header="720" w:footer="714" w:gutter="0"/>
          <w:cols w:space="720"/>
          <w:docGrid w:linePitch="360"/>
        </w:sectPr>
      </w:pPr>
      <w:r w:rsidRPr="008C347D">
        <w:rPr>
          <w:noProof/>
          <w:lang w:val="en-US" w:eastAsia="zh-TW"/>
        </w:rPr>
        <w:drawing>
          <wp:anchor distT="0" distB="0" distL="114935" distR="114935" simplePos="0" relativeHeight="251659264" behindDoc="0" locked="0" layoutInCell="1" allowOverlap="1">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8C347D" w:rsidRDefault="0048342F">
      <w:r>
        <w:rPr>
          <w:rFonts w:ascii="Arial" w:hAnsi="Arial" w:cs="Arial"/>
          <w:b/>
          <w:sz w:val="32"/>
        </w:rPr>
        <w:lastRenderedPageBreak/>
        <w:t>Zu diesem Dokument</w:t>
      </w:r>
    </w:p>
    <w:p w:rsidR="003F3B3C" w:rsidRPr="008C347D" w:rsidRDefault="003F3B3C"/>
    <w:p w:rsidR="003F3B3C" w:rsidRPr="008C347D" w:rsidRDefault="0048342F">
      <w:r>
        <w:rPr>
          <w:rFonts w:ascii="Arial" w:hAnsi="Arial" w:cs="Arial"/>
          <w:b/>
          <w:sz w:val="24"/>
        </w:rPr>
        <w:t>Zweck</w:t>
      </w:r>
    </w:p>
    <w:p w:rsidR="003F3B3C" w:rsidRPr="008C347D" w:rsidRDefault="0048342F">
      <w:r>
        <w:t>Bei Erstellung einer technischen Spezifikation, eines Ausschreibungsangebots oder eines anderen Angebots für ein Lautsprecher Linien-Isolator-System für Lautsprecher von Bosch ist es unter Umständen erforderlich, die Funktionsweise aller gelieferten Geräte detailliert zu beschreiben. Die Spezifikation für Architekten und Ingenieure in dieser Veröffentlichung ist für diesen Zweck bestimmt und darf nach Bedarf kopiert und/oder vervielfältigt werden.</w:t>
      </w:r>
    </w:p>
    <w:p w:rsidR="003F3B3C" w:rsidRPr="008C347D" w:rsidRDefault="003F3B3C"/>
    <w:p w:rsidR="003F3B3C" w:rsidRPr="008C347D" w:rsidRDefault="0048342F">
      <w:r>
        <w:rPr>
          <w:rFonts w:ascii="Arial" w:hAnsi="Arial" w:cs="Arial"/>
          <w:b/>
          <w:sz w:val="24"/>
        </w:rPr>
        <w:t>Umfang</w:t>
      </w:r>
    </w:p>
    <w:p w:rsidR="003F3B3C" w:rsidRPr="008C347D" w:rsidRDefault="006837A0" w:rsidP="00FE3769">
      <w:r>
        <w:t xml:space="preserve">Das Lautsprecher Linien-Isolator-System von Bosch sollte in Verbindung mit der </w:t>
      </w:r>
      <w:proofErr w:type="spellStart"/>
      <w:r>
        <w:t>Praesideo</w:t>
      </w:r>
      <w:proofErr w:type="spellEnd"/>
      <w:r>
        <w:t xml:space="preserve"> Evakuierungsanlage oder dem </w:t>
      </w:r>
      <w:proofErr w:type="spellStart"/>
      <w:r>
        <w:t>Plena</w:t>
      </w:r>
      <w:proofErr w:type="spellEnd"/>
      <w:r>
        <w:t xml:space="preserve"> Sprachalarmierungssystem verwendet werden. Die Spezifikation für Architekten und Ingenieure umfasst lediglich die für das Bosch Lautsprecher Linien-Isolator-System spezifische Funktionsbeschreibung.</w:t>
      </w:r>
    </w:p>
    <w:p w:rsidR="003F3B3C" w:rsidRPr="008C347D" w:rsidRDefault="003F3B3C"/>
    <w:p w:rsidR="003F3B3C" w:rsidRPr="008C347D" w:rsidRDefault="0048342F">
      <w:r>
        <w:rPr>
          <w:rFonts w:ascii="Arial" w:hAnsi="Arial" w:cs="Arial"/>
          <w:b/>
          <w:sz w:val="24"/>
        </w:rPr>
        <w:t>Zielgruppe</w:t>
      </w:r>
    </w:p>
    <w:p w:rsidR="003F3B3C" w:rsidRPr="008C347D" w:rsidRDefault="0048342F">
      <w:r>
        <w:t>Diese Spezifikation für Architekten und Ingenieure richtet sich an Vertragsnehmer, Berater und andere Fachleute, die an der Projektleitung oder am Entwurf, der Spezifizierung und der Beschaffung von Beschallungs- und Sprachalarmierungssystemen beteiligt sind.</w:t>
      </w:r>
    </w:p>
    <w:p w:rsidR="003F3B3C" w:rsidRPr="008C347D" w:rsidRDefault="003F3B3C"/>
    <w:p w:rsidR="003F3B3C" w:rsidRPr="008C347D" w:rsidRDefault="0048342F">
      <w:r>
        <w:rPr>
          <w:rFonts w:ascii="Arial" w:hAnsi="Arial" w:cs="Arial"/>
          <w:b/>
          <w:sz w:val="24"/>
        </w:rPr>
        <w:t>Copyright</w:t>
      </w:r>
    </w:p>
    <w:p w:rsidR="003F3B3C" w:rsidRPr="008C347D" w:rsidRDefault="0048342F">
      <w:r>
        <w:t>Bosch Security Systems BV, Eindhoven, besitzt das Urheberrecht für diese Spezifikation, hat jedoch professionellen Personen und Organisationen die Genehmigung erteilt, diese Spezifikation oder Teile davon zur Erstellung von Ausschreibungsangeboten, Spezifikationsvorschlägen und zugehörigen Dokumentationen, die der Unterstützung ihrer Vertriebs- und Projektmanagement-Aktivitäten dienen, zu vervielfältigen.</w:t>
      </w:r>
    </w:p>
    <w:p w:rsidR="003F3B3C" w:rsidRPr="008C347D" w:rsidRDefault="003F3B3C"/>
    <w:p w:rsidR="003F3B3C" w:rsidRPr="008C347D" w:rsidRDefault="0048342F">
      <w:r>
        <w:rPr>
          <w:rFonts w:ascii="Arial" w:hAnsi="Arial" w:cs="Arial"/>
          <w:b/>
          <w:sz w:val="24"/>
        </w:rPr>
        <w:t>Dokumentformat</w:t>
      </w:r>
    </w:p>
    <w:p w:rsidR="003F3B3C" w:rsidRPr="008C347D" w:rsidRDefault="0048342F">
      <w:r>
        <w:t>Die Spezifikation für Architekten und Ingenieure ist als digitales Dokument im Word-Format (.</w:t>
      </w:r>
      <w:proofErr w:type="spellStart"/>
      <w:r>
        <w:t>doc</w:t>
      </w:r>
      <w:proofErr w:type="spellEnd"/>
      <w:r>
        <w:t xml:space="preserve">) verfügbar. Alle Verweise auf Seiten, Abbildungen, Tabellen usw. in diesem digitalen Dokument enthalten Hyperlinks zu der Stelle, auf die verwiesen wird. </w:t>
      </w:r>
    </w:p>
    <w:p w:rsidR="003F3B3C" w:rsidRPr="008C347D" w:rsidRDefault="003F3B3C"/>
    <w:p w:rsidR="003F3B3C" w:rsidRPr="008C347D" w:rsidRDefault="003F3B3C">
      <w:pPr>
        <w:pStyle w:val="TOCHeading1"/>
      </w:pPr>
    </w:p>
    <w:p w:rsidR="003F3B3C" w:rsidRPr="008C347D" w:rsidRDefault="003F3B3C">
      <w:pPr>
        <w:sectPr w:rsidR="003F3B3C" w:rsidRPr="008C347D">
          <w:footerReference w:type="default" r:id="rId13"/>
          <w:pgSz w:w="11906" w:h="16838"/>
          <w:pgMar w:top="1372" w:right="1191" w:bottom="1361" w:left="1191" w:header="720" w:footer="584" w:gutter="0"/>
          <w:cols w:num="2" w:space="720"/>
          <w:docGrid w:linePitch="360"/>
        </w:sectPr>
      </w:pPr>
    </w:p>
    <w:p w:rsidR="003F3B3C" w:rsidRPr="008C347D" w:rsidRDefault="0048342F">
      <w:pPr>
        <w:pStyle w:val="TOCHeading1"/>
        <w:tabs>
          <w:tab w:val="clear" w:pos="600"/>
          <w:tab w:val="clear" w:pos="4320"/>
          <w:tab w:val="clear" w:pos="4616"/>
          <w:tab w:val="clear" w:pos="8640"/>
        </w:tabs>
        <w:spacing w:after="0"/>
      </w:pPr>
      <w:r>
        <w:lastRenderedPageBreak/>
        <w:t>Inhaltsverzeichnis</w:t>
      </w: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sectPr w:rsidR="003F3B3C" w:rsidRPr="008C347D">
          <w:headerReference w:type="default" r:id="rId14"/>
          <w:footerReference w:type="even" r:id="rId15"/>
          <w:footerReference w:type="default" r:id="rId16"/>
          <w:headerReference w:type="first" r:id="rId17"/>
          <w:footerReference w:type="first" r:id="rId18"/>
          <w:pgSz w:w="11906" w:h="16838"/>
          <w:pgMar w:top="1372" w:right="1191" w:bottom="1361" w:left="1191" w:header="567" w:footer="584" w:gutter="0"/>
          <w:cols w:num="2" w:space="272"/>
          <w:docGrid w:linePitch="360"/>
        </w:sectPr>
      </w:pPr>
    </w:p>
    <w:p w:rsidR="00245D8F" w:rsidRDefault="00495EEA">
      <w:pPr>
        <w:pStyle w:val="TOC1"/>
        <w:rPr>
          <w:rFonts w:asciiTheme="minorHAnsi" w:eastAsiaTheme="minorEastAsia" w:hAnsiTheme="minorHAnsi" w:cstheme="minorBidi"/>
          <w:b w:val="0"/>
          <w:noProof/>
          <w:sz w:val="22"/>
          <w:szCs w:val="22"/>
          <w:lang w:val="en-US" w:eastAsia="zh-TW"/>
        </w:rPr>
      </w:pPr>
      <w:r w:rsidRPr="008C347D">
        <w:lastRenderedPageBreak/>
        <w:fldChar w:fldCharType="begin"/>
      </w:r>
      <w:r w:rsidR="0048342F" w:rsidRPr="008C347D">
        <w:instrText xml:space="preserve"> TOC </w:instrText>
      </w:r>
      <w:r w:rsidRPr="008C347D">
        <w:fldChar w:fldCharType="separate"/>
      </w:r>
      <w:r w:rsidR="00245D8F" w:rsidRPr="005476A3">
        <w:rPr>
          <w:rFonts w:ascii="AkzidenzGroteskBQ" w:hAnsi="AkzidenzGroteskBQ" w:cs="AkzidenzGroteskBQ"/>
          <w:noProof/>
        </w:rPr>
        <w:t>1</w:t>
      </w:r>
      <w:r w:rsidR="00245D8F">
        <w:rPr>
          <w:rFonts w:asciiTheme="minorHAnsi" w:eastAsiaTheme="minorEastAsia" w:hAnsiTheme="minorHAnsi" w:cstheme="minorBidi"/>
          <w:b w:val="0"/>
          <w:noProof/>
          <w:sz w:val="22"/>
          <w:szCs w:val="22"/>
          <w:lang w:val="en-US" w:eastAsia="zh-TW"/>
        </w:rPr>
        <w:tab/>
      </w:r>
      <w:r w:rsidR="00245D8F">
        <w:rPr>
          <w:noProof/>
        </w:rPr>
        <w:t>Einführung</w:t>
      </w:r>
      <w:r w:rsidR="00245D8F">
        <w:rPr>
          <w:noProof/>
        </w:rPr>
        <w:tab/>
      </w:r>
      <w:r w:rsidR="00245D8F">
        <w:rPr>
          <w:noProof/>
        </w:rPr>
        <w:fldChar w:fldCharType="begin"/>
      </w:r>
      <w:r w:rsidR="00245D8F">
        <w:rPr>
          <w:noProof/>
        </w:rPr>
        <w:instrText xml:space="preserve"> PAGEREF _Toc386016573 \h </w:instrText>
      </w:r>
      <w:r w:rsidR="00245D8F">
        <w:rPr>
          <w:noProof/>
        </w:rPr>
      </w:r>
      <w:r w:rsidR="00245D8F">
        <w:rPr>
          <w:noProof/>
        </w:rPr>
        <w:fldChar w:fldCharType="separate"/>
      </w:r>
      <w:r w:rsidR="000A0E2E">
        <w:rPr>
          <w:noProof/>
        </w:rPr>
        <w:t>4</w:t>
      </w:r>
      <w:r w:rsidR="00245D8F">
        <w:rPr>
          <w:noProof/>
        </w:rPr>
        <w:fldChar w:fldCharType="end"/>
      </w:r>
    </w:p>
    <w:p w:rsidR="00245D8F" w:rsidRDefault="00245D8F">
      <w:pPr>
        <w:pStyle w:val="TOC1"/>
        <w:rPr>
          <w:rFonts w:asciiTheme="minorHAnsi" w:eastAsiaTheme="minorEastAsia" w:hAnsiTheme="minorHAnsi" w:cstheme="minorBidi"/>
          <w:b w:val="0"/>
          <w:noProof/>
          <w:sz w:val="22"/>
          <w:szCs w:val="22"/>
          <w:lang w:val="en-US" w:eastAsia="zh-TW"/>
        </w:rPr>
      </w:pPr>
      <w:r w:rsidRPr="005476A3">
        <w:rPr>
          <w:rFonts w:ascii="AkzidenzGroteskBQ" w:hAnsi="AkzidenzGroteskBQ" w:cs="AkzidenzGroteskBQ"/>
          <w:noProof/>
        </w:rPr>
        <w:t>2</w:t>
      </w:r>
      <w:r>
        <w:rPr>
          <w:rFonts w:asciiTheme="minorHAnsi" w:eastAsiaTheme="minorEastAsia" w:hAnsiTheme="minorHAnsi" w:cstheme="minorBidi"/>
          <w:b w:val="0"/>
          <w:noProof/>
          <w:sz w:val="22"/>
          <w:szCs w:val="22"/>
          <w:lang w:val="en-US" w:eastAsia="zh-TW"/>
        </w:rPr>
        <w:tab/>
      </w:r>
      <w:r>
        <w:rPr>
          <w:noProof/>
        </w:rPr>
        <w:t>Umfang der Spezifikation</w:t>
      </w:r>
      <w:r>
        <w:rPr>
          <w:noProof/>
        </w:rPr>
        <w:tab/>
      </w:r>
      <w:r>
        <w:rPr>
          <w:noProof/>
        </w:rPr>
        <w:fldChar w:fldCharType="begin"/>
      </w:r>
      <w:r>
        <w:rPr>
          <w:noProof/>
        </w:rPr>
        <w:instrText xml:space="preserve"> PAGEREF _Toc386016574 \h </w:instrText>
      </w:r>
      <w:r>
        <w:rPr>
          <w:noProof/>
        </w:rPr>
      </w:r>
      <w:r>
        <w:rPr>
          <w:noProof/>
        </w:rPr>
        <w:fldChar w:fldCharType="separate"/>
      </w:r>
      <w:r w:rsidR="000A0E2E">
        <w:rPr>
          <w:noProof/>
        </w:rPr>
        <w:t>4</w:t>
      </w:r>
      <w:r>
        <w:rPr>
          <w:noProof/>
        </w:rPr>
        <w:fldChar w:fldCharType="end"/>
      </w:r>
    </w:p>
    <w:p w:rsidR="00245D8F" w:rsidRDefault="00245D8F">
      <w:pPr>
        <w:pStyle w:val="TOC1"/>
        <w:rPr>
          <w:rFonts w:asciiTheme="minorHAnsi" w:eastAsiaTheme="minorEastAsia" w:hAnsiTheme="minorHAnsi" w:cstheme="minorBidi"/>
          <w:b w:val="0"/>
          <w:noProof/>
          <w:sz w:val="22"/>
          <w:szCs w:val="22"/>
          <w:lang w:val="en-US" w:eastAsia="zh-TW"/>
        </w:rPr>
      </w:pPr>
      <w:r w:rsidRPr="005476A3">
        <w:rPr>
          <w:rFonts w:ascii="AkzidenzGroteskBQ" w:hAnsi="AkzidenzGroteskBQ" w:cs="AkzidenzGroteskBQ"/>
          <w:noProof/>
        </w:rPr>
        <w:t>3</w:t>
      </w:r>
      <w:r>
        <w:rPr>
          <w:rFonts w:asciiTheme="minorHAnsi" w:eastAsiaTheme="minorEastAsia" w:hAnsiTheme="minorHAnsi" w:cstheme="minorBidi"/>
          <w:b w:val="0"/>
          <w:noProof/>
          <w:sz w:val="22"/>
          <w:szCs w:val="22"/>
          <w:lang w:val="en-US" w:eastAsia="zh-TW"/>
        </w:rPr>
        <w:tab/>
      </w:r>
      <w:r>
        <w:rPr>
          <w:noProof/>
        </w:rPr>
        <w:t>Zusammenfassung des Systems</w:t>
      </w:r>
      <w:r>
        <w:rPr>
          <w:noProof/>
        </w:rPr>
        <w:tab/>
      </w:r>
      <w:r>
        <w:rPr>
          <w:noProof/>
        </w:rPr>
        <w:fldChar w:fldCharType="begin"/>
      </w:r>
      <w:r>
        <w:rPr>
          <w:noProof/>
        </w:rPr>
        <w:instrText xml:space="preserve"> PAGEREF _Toc386016575 \h </w:instrText>
      </w:r>
      <w:r>
        <w:rPr>
          <w:noProof/>
        </w:rPr>
      </w:r>
      <w:r>
        <w:rPr>
          <w:noProof/>
        </w:rPr>
        <w:fldChar w:fldCharType="separate"/>
      </w:r>
      <w:r w:rsidR="000A0E2E">
        <w:rPr>
          <w:noProof/>
        </w:rPr>
        <w:t>4</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3.1</w:t>
      </w:r>
      <w:r>
        <w:rPr>
          <w:rFonts w:asciiTheme="minorHAnsi" w:eastAsiaTheme="minorEastAsia" w:hAnsiTheme="minorHAnsi" w:cstheme="minorBidi"/>
          <w:noProof/>
          <w:sz w:val="22"/>
          <w:szCs w:val="22"/>
          <w:lang w:val="en-US" w:eastAsia="zh-TW"/>
        </w:rPr>
        <w:tab/>
      </w:r>
      <w:r>
        <w:rPr>
          <w:noProof/>
        </w:rPr>
        <w:t>Systemübersicht</w:t>
      </w:r>
      <w:r>
        <w:rPr>
          <w:noProof/>
        </w:rPr>
        <w:tab/>
      </w:r>
      <w:r>
        <w:rPr>
          <w:noProof/>
        </w:rPr>
        <w:fldChar w:fldCharType="begin"/>
      </w:r>
      <w:r>
        <w:rPr>
          <w:noProof/>
        </w:rPr>
        <w:instrText xml:space="preserve"> PAGEREF _Toc386016576 \h </w:instrText>
      </w:r>
      <w:r>
        <w:rPr>
          <w:noProof/>
        </w:rPr>
      </w:r>
      <w:r>
        <w:rPr>
          <w:noProof/>
        </w:rPr>
        <w:fldChar w:fldCharType="separate"/>
      </w:r>
      <w:r w:rsidR="000A0E2E">
        <w:rPr>
          <w:noProof/>
        </w:rPr>
        <w:t>4</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3.2</w:t>
      </w:r>
      <w:r>
        <w:rPr>
          <w:rFonts w:asciiTheme="minorHAnsi" w:eastAsiaTheme="minorEastAsia" w:hAnsiTheme="minorHAnsi" w:cstheme="minorBidi"/>
          <w:noProof/>
          <w:sz w:val="22"/>
          <w:szCs w:val="22"/>
          <w:lang w:val="en-US" w:eastAsia="zh-TW"/>
        </w:rPr>
        <w:tab/>
      </w:r>
      <w:r>
        <w:rPr>
          <w:noProof/>
        </w:rPr>
        <w:t>Systemfunktionen</w:t>
      </w:r>
      <w:r>
        <w:rPr>
          <w:noProof/>
        </w:rPr>
        <w:tab/>
      </w:r>
      <w:r>
        <w:rPr>
          <w:noProof/>
        </w:rPr>
        <w:fldChar w:fldCharType="begin"/>
      </w:r>
      <w:r>
        <w:rPr>
          <w:noProof/>
        </w:rPr>
        <w:instrText xml:space="preserve"> PAGEREF _Toc386016577 \h </w:instrText>
      </w:r>
      <w:r>
        <w:rPr>
          <w:noProof/>
        </w:rPr>
      </w:r>
      <w:r>
        <w:rPr>
          <w:noProof/>
        </w:rPr>
        <w:fldChar w:fldCharType="separate"/>
      </w:r>
      <w:r w:rsidR="000A0E2E">
        <w:rPr>
          <w:noProof/>
        </w:rPr>
        <w:t>4</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3.3</w:t>
      </w:r>
      <w:r>
        <w:rPr>
          <w:rFonts w:asciiTheme="minorHAnsi" w:eastAsiaTheme="minorEastAsia" w:hAnsiTheme="minorHAnsi" w:cstheme="minorBidi"/>
          <w:noProof/>
          <w:sz w:val="22"/>
          <w:szCs w:val="22"/>
          <w:lang w:val="en-US" w:eastAsia="zh-TW"/>
        </w:rPr>
        <w:tab/>
      </w:r>
      <w:r>
        <w:rPr>
          <w:noProof/>
        </w:rPr>
        <w:t>Zulassungen und Konformität</w:t>
      </w:r>
      <w:r>
        <w:rPr>
          <w:noProof/>
        </w:rPr>
        <w:tab/>
      </w:r>
      <w:r>
        <w:rPr>
          <w:noProof/>
        </w:rPr>
        <w:fldChar w:fldCharType="begin"/>
      </w:r>
      <w:r>
        <w:rPr>
          <w:noProof/>
        </w:rPr>
        <w:instrText xml:space="preserve"> PAGEREF _Toc386016578 \h </w:instrText>
      </w:r>
      <w:r>
        <w:rPr>
          <w:noProof/>
        </w:rPr>
      </w:r>
      <w:r>
        <w:rPr>
          <w:noProof/>
        </w:rPr>
        <w:fldChar w:fldCharType="separate"/>
      </w:r>
      <w:r w:rsidR="000A0E2E">
        <w:rPr>
          <w:noProof/>
        </w:rPr>
        <w:t>5</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3.4</w:t>
      </w:r>
      <w:r>
        <w:rPr>
          <w:rFonts w:asciiTheme="minorHAnsi" w:eastAsiaTheme="minorEastAsia" w:hAnsiTheme="minorHAnsi" w:cstheme="minorBidi"/>
          <w:noProof/>
          <w:sz w:val="22"/>
          <w:szCs w:val="22"/>
          <w:lang w:val="en-US" w:eastAsia="zh-TW"/>
        </w:rPr>
        <w:tab/>
      </w:r>
      <w:r>
        <w:rPr>
          <w:noProof/>
        </w:rPr>
        <w:t>Systemkompatibilität</w:t>
      </w:r>
      <w:r>
        <w:rPr>
          <w:noProof/>
        </w:rPr>
        <w:tab/>
      </w:r>
      <w:r>
        <w:rPr>
          <w:noProof/>
        </w:rPr>
        <w:fldChar w:fldCharType="begin"/>
      </w:r>
      <w:r>
        <w:rPr>
          <w:noProof/>
        </w:rPr>
        <w:instrText xml:space="preserve"> PAGEREF _Toc386016579 \h </w:instrText>
      </w:r>
      <w:r>
        <w:rPr>
          <w:noProof/>
        </w:rPr>
      </w:r>
      <w:r>
        <w:rPr>
          <w:noProof/>
        </w:rPr>
        <w:fldChar w:fldCharType="separate"/>
      </w:r>
      <w:r w:rsidR="000A0E2E">
        <w:rPr>
          <w:noProof/>
        </w:rPr>
        <w:t>5</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3.5</w:t>
      </w:r>
      <w:r>
        <w:rPr>
          <w:rFonts w:asciiTheme="minorHAnsi" w:eastAsiaTheme="minorEastAsia" w:hAnsiTheme="minorHAnsi" w:cstheme="minorBidi"/>
          <w:noProof/>
          <w:sz w:val="22"/>
          <w:szCs w:val="22"/>
          <w:lang w:val="en-US" w:eastAsia="zh-TW"/>
        </w:rPr>
        <w:tab/>
      </w:r>
      <w:r>
        <w:rPr>
          <w:noProof/>
        </w:rPr>
        <w:t>Systemkonfiguration</w:t>
      </w:r>
      <w:r>
        <w:rPr>
          <w:noProof/>
        </w:rPr>
        <w:tab/>
      </w:r>
      <w:r>
        <w:rPr>
          <w:noProof/>
        </w:rPr>
        <w:fldChar w:fldCharType="begin"/>
      </w:r>
      <w:r>
        <w:rPr>
          <w:noProof/>
        </w:rPr>
        <w:instrText xml:space="preserve"> PAGEREF _Toc386016580 \h </w:instrText>
      </w:r>
      <w:r>
        <w:rPr>
          <w:noProof/>
        </w:rPr>
      </w:r>
      <w:r>
        <w:rPr>
          <w:noProof/>
        </w:rPr>
        <w:fldChar w:fldCharType="separate"/>
      </w:r>
      <w:r w:rsidR="000A0E2E">
        <w:rPr>
          <w:noProof/>
        </w:rPr>
        <w:t>5</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3.6</w:t>
      </w:r>
      <w:r>
        <w:rPr>
          <w:rFonts w:asciiTheme="minorHAnsi" w:eastAsiaTheme="minorEastAsia" w:hAnsiTheme="minorHAnsi" w:cstheme="minorBidi"/>
          <w:noProof/>
          <w:sz w:val="22"/>
          <w:szCs w:val="22"/>
          <w:lang w:val="en-US" w:eastAsia="zh-TW"/>
        </w:rPr>
        <w:tab/>
      </w:r>
      <w:r>
        <w:rPr>
          <w:noProof/>
        </w:rPr>
        <w:t>Installation und Verbindung des Systems</w:t>
      </w:r>
      <w:r>
        <w:rPr>
          <w:noProof/>
        </w:rPr>
        <w:tab/>
      </w:r>
      <w:r>
        <w:rPr>
          <w:noProof/>
        </w:rPr>
        <w:fldChar w:fldCharType="begin"/>
      </w:r>
      <w:r>
        <w:rPr>
          <w:noProof/>
        </w:rPr>
        <w:instrText xml:space="preserve"> PAGEREF _Toc386016581 \h </w:instrText>
      </w:r>
      <w:r>
        <w:rPr>
          <w:noProof/>
        </w:rPr>
      </w:r>
      <w:r>
        <w:rPr>
          <w:noProof/>
        </w:rPr>
        <w:fldChar w:fldCharType="separate"/>
      </w:r>
      <w:r w:rsidR="000A0E2E">
        <w:rPr>
          <w:noProof/>
        </w:rPr>
        <w:t>6</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3.7</w:t>
      </w:r>
      <w:r>
        <w:rPr>
          <w:rFonts w:asciiTheme="minorHAnsi" w:eastAsiaTheme="minorEastAsia" w:hAnsiTheme="minorHAnsi" w:cstheme="minorBidi"/>
          <w:noProof/>
          <w:sz w:val="22"/>
          <w:szCs w:val="22"/>
          <w:lang w:val="en-US" w:eastAsia="zh-TW"/>
        </w:rPr>
        <w:tab/>
      </w:r>
      <w:r>
        <w:rPr>
          <w:noProof/>
        </w:rPr>
        <w:t>Systembetrieb</w:t>
      </w:r>
      <w:r>
        <w:rPr>
          <w:noProof/>
        </w:rPr>
        <w:tab/>
      </w:r>
      <w:r>
        <w:rPr>
          <w:noProof/>
        </w:rPr>
        <w:fldChar w:fldCharType="begin"/>
      </w:r>
      <w:r>
        <w:rPr>
          <w:noProof/>
        </w:rPr>
        <w:instrText xml:space="preserve"> PAGEREF _Toc386016582 \h </w:instrText>
      </w:r>
      <w:r>
        <w:rPr>
          <w:noProof/>
        </w:rPr>
      </w:r>
      <w:r>
        <w:rPr>
          <w:noProof/>
        </w:rPr>
        <w:fldChar w:fldCharType="separate"/>
      </w:r>
      <w:r w:rsidR="000A0E2E">
        <w:rPr>
          <w:noProof/>
        </w:rPr>
        <w:t>6</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3.8</w:t>
      </w:r>
      <w:r>
        <w:rPr>
          <w:rFonts w:asciiTheme="minorHAnsi" w:eastAsiaTheme="minorEastAsia" w:hAnsiTheme="minorHAnsi" w:cstheme="minorBidi"/>
          <w:noProof/>
          <w:sz w:val="22"/>
          <w:szCs w:val="22"/>
          <w:lang w:val="en-US" w:eastAsia="zh-TW"/>
        </w:rPr>
        <w:tab/>
      </w:r>
      <w:r>
        <w:rPr>
          <w:noProof/>
        </w:rPr>
        <w:t>Systemwartung</w:t>
      </w:r>
      <w:r>
        <w:rPr>
          <w:noProof/>
        </w:rPr>
        <w:tab/>
      </w:r>
      <w:r>
        <w:rPr>
          <w:noProof/>
        </w:rPr>
        <w:fldChar w:fldCharType="begin"/>
      </w:r>
      <w:r>
        <w:rPr>
          <w:noProof/>
        </w:rPr>
        <w:instrText xml:space="preserve"> PAGEREF _Toc386016583 \h </w:instrText>
      </w:r>
      <w:r>
        <w:rPr>
          <w:noProof/>
        </w:rPr>
      </w:r>
      <w:r>
        <w:rPr>
          <w:noProof/>
        </w:rPr>
        <w:fldChar w:fldCharType="separate"/>
      </w:r>
      <w:r w:rsidR="000A0E2E">
        <w:rPr>
          <w:noProof/>
        </w:rPr>
        <w:t>6</w:t>
      </w:r>
      <w:r>
        <w:rPr>
          <w:noProof/>
        </w:rPr>
        <w:fldChar w:fldCharType="end"/>
      </w:r>
    </w:p>
    <w:p w:rsidR="00245D8F" w:rsidRDefault="00245D8F">
      <w:pPr>
        <w:pStyle w:val="TOC1"/>
        <w:rPr>
          <w:rFonts w:asciiTheme="minorHAnsi" w:eastAsiaTheme="minorEastAsia" w:hAnsiTheme="minorHAnsi" w:cstheme="minorBidi"/>
          <w:b w:val="0"/>
          <w:noProof/>
          <w:sz w:val="22"/>
          <w:szCs w:val="22"/>
          <w:lang w:val="en-US" w:eastAsia="zh-TW"/>
        </w:rPr>
      </w:pPr>
      <w:r w:rsidRPr="005476A3">
        <w:rPr>
          <w:rFonts w:ascii="AkzidenzGroteskBQ" w:hAnsi="AkzidenzGroteskBQ" w:cs="AkzidenzGroteskBQ"/>
          <w:noProof/>
        </w:rPr>
        <w:t>4</w:t>
      </w:r>
      <w:r>
        <w:rPr>
          <w:rFonts w:asciiTheme="minorHAnsi" w:eastAsiaTheme="minorEastAsia" w:hAnsiTheme="minorHAnsi" w:cstheme="minorBidi"/>
          <w:b w:val="0"/>
          <w:noProof/>
          <w:sz w:val="22"/>
          <w:szCs w:val="22"/>
          <w:lang w:val="en-US" w:eastAsia="zh-TW"/>
        </w:rPr>
        <w:tab/>
      </w:r>
      <w:r>
        <w:rPr>
          <w:noProof/>
        </w:rPr>
        <w:t>Technische Daten</w:t>
      </w:r>
      <w:r>
        <w:rPr>
          <w:noProof/>
        </w:rPr>
        <w:tab/>
      </w:r>
      <w:r>
        <w:rPr>
          <w:noProof/>
        </w:rPr>
        <w:fldChar w:fldCharType="begin"/>
      </w:r>
      <w:r>
        <w:rPr>
          <w:noProof/>
        </w:rPr>
        <w:instrText xml:space="preserve"> PAGEREF _Toc386016584 \h </w:instrText>
      </w:r>
      <w:r>
        <w:rPr>
          <w:noProof/>
        </w:rPr>
      </w:r>
      <w:r>
        <w:rPr>
          <w:noProof/>
        </w:rPr>
        <w:fldChar w:fldCharType="separate"/>
      </w:r>
      <w:r w:rsidR="000A0E2E">
        <w:rPr>
          <w:noProof/>
        </w:rPr>
        <w:t>7</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4.1</w:t>
      </w:r>
      <w:r>
        <w:rPr>
          <w:rFonts w:asciiTheme="minorHAnsi" w:eastAsiaTheme="minorEastAsia" w:hAnsiTheme="minorHAnsi" w:cstheme="minorBidi"/>
          <w:noProof/>
          <w:sz w:val="22"/>
          <w:szCs w:val="22"/>
          <w:lang w:val="en-US" w:eastAsia="zh-TW"/>
        </w:rPr>
        <w:tab/>
      </w:r>
      <w:r>
        <w:rPr>
          <w:noProof/>
        </w:rPr>
        <w:t>Master-Einheit</w:t>
      </w:r>
      <w:r>
        <w:rPr>
          <w:noProof/>
        </w:rPr>
        <w:tab/>
      </w:r>
      <w:r>
        <w:rPr>
          <w:noProof/>
        </w:rPr>
        <w:fldChar w:fldCharType="begin"/>
      </w:r>
      <w:r>
        <w:rPr>
          <w:noProof/>
        </w:rPr>
        <w:instrText xml:space="preserve"> PAGEREF _Toc386016585 \h </w:instrText>
      </w:r>
      <w:r>
        <w:rPr>
          <w:noProof/>
        </w:rPr>
      </w:r>
      <w:r>
        <w:rPr>
          <w:noProof/>
        </w:rPr>
        <w:fldChar w:fldCharType="separate"/>
      </w:r>
      <w:r w:rsidR="000A0E2E">
        <w:rPr>
          <w:noProof/>
        </w:rPr>
        <w:t>7</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4.2</w:t>
      </w:r>
      <w:r>
        <w:rPr>
          <w:rFonts w:asciiTheme="minorHAnsi" w:eastAsiaTheme="minorEastAsia" w:hAnsiTheme="minorHAnsi" w:cstheme="minorBidi"/>
          <w:noProof/>
          <w:sz w:val="22"/>
          <w:szCs w:val="22"/>
          <w:lang w:val="en-US" w:eastAsia="zh-TW"/>
        </w:rPr>
        <w:tab/>
      </w:r>
      <w:r>
        <w:rPr>
          <w:noProof/>
        </w:rPr>
        <w:t>Trennplatine</w:t>
      </w:r>
      <w:r>
        <w:rPr>
          <w:noProof/>
        </w:rPr>
        <w:tab/>
      </w:r>
      <w:r>
        <w:rPr>
          <w:noProof/>
        </w:rPr>
        <w:fldChar w:fldCharType="begin"/>
      </w:r>
      <w:r>
        <w:rPr>
          <w:noProof/>
        </w:rPr>
        <w:instrText xml:space="preserve"> PAGEREF _Toc386016586 \h </w:instrText>
      </w:r>
      <w:r>
        <w:rPr>
          <w:noProof/>
        </w:rPr>
      </w:r>
      <w:r>
        <w:rPr>
          <w:noProof/>
        </w:rPr>
        <w:fldChar w:fldCharType="separate"/>
      </w:r>
      <w:r w:rsidR="000A0E2E">
        <w:rPr>
          <w:noProof/>
        </w:rPr>
        <w:t>8</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4.3</w:t>
      </w:r>
      <w:r>
        <w:rPr>
          <w:rFonts w:asciiTheme="minorHAnsi" w:eastAsiaTheme="minorEastAsia" w:hAnsiTheme="minorHAnsi" w:cstheme="minorBidi"/>
          <w:noProof/>
          <w:sz w:val="22"/>
          <w:szCs w:val="22"/>
          <w:lang w:val="en-US" w:eastAsia="zh-TW"/>
        </w:rPr>
        <w:tab/>
      </w:r>
      <w:r>
        <w:rPr>
          <w:noProof/>
        </w:rPr>
        <w:t>Endwiderstand</w:t>
      </w:r>
      <w:r>
        <w:rPr>
          <w:noProof/>
        </w:rPr>
        <w:tab/>
      </w:r>
      <w:r>
        <w:rPr>
          <w:noProof/>
        </w:rPr>
        <w:fldChar w:fldCharType="begin"/>
      </w:r>
      <w:r>
        <w:rPr>
          <w:noProof/>
        </w:rPr>
        <w:instrText xml:space="preserve"> PAGEREF _Toc386016587 \h </w:instrText>
      </w:r>
      <w:r>
        <w:rPr>
          <w:noProof/>
        </w:rPr>
      </w:r>
      <w:r>
        <w:rPr>
          <w:noProof/>
        </w:rPr>
        <w:fldChar w:fldCharType="separate"/>
      </w:r>
      <w:r w:rsidR="000A0E2E">
        <w:rPr>
          <w:noProof/>
        </w:rPr>
        <w:t>8</w:t>
      </w:r>
      <w:r>
        <w:rPr>
          <w:noProof/>
        </w:rPr>
        <w:fldChar w:fldCharType="end"/>
      </w:r>
    </w:p>
    <w:p w:rsidR="00245D8F" w:rsidRDefault="00245D8F">
      <w:pPr>
        <w:pStyle w:val="TOC2"/>
        <w:rPr>
          <w:rFonts w:asciiTheme="minorHAnsi" w:eastAsiaTheme="minorEastAsia" w:hAnsiTheme="minorHAnsi" w:cstheme="minorBidi"/>
          <w:noProof/>
          <w:sz w:val="22"/>
          <w:szCs w:val="22"/>
          <w:lang w:val="en-US" w:eastAsia="zh-TW"/>
        </w:rPr>
      </w:pPr>
      <w:r w:rsidRPr="005476A3">
        <w:rPr>
          <w:rFonts w:ascii="AkzidenzGroteskBQ" w:hAnsi="AkzidenzGroteskBQ" w:cs="AkzidenzGroteskBQ"/>
          <w:noProof/>
        </w:rPr>
        <w:t>4.4</w:t>
      </w:r>
      <w:r>
        <w:rPr>
          <w:rFonts w:asciiTheme="minorHAnsi" w:eastAsiaTheme="minorEastAsia" w:hAnsiTheme="minorHAnsi" w:cstheme="minorBidi"/>
          <w:noProof/>
          <w:sz w:val="22"/>
          <w:szCs w:val="22"/>
          <w:lang w:val="en-US" w:eastAsia="zh-TW"/>
        </w:rPr>
        <w:tab/>
      </w:r>
      <w:r>
        <w:rPr>
          <w:noProof/>
        </w:rPr>
        <w:t>DC-Blocker-Platine</w:t>
      </w:r>
      <w:r>
        <w:rPr>
          <w:noProof/>
        </w:rPr>
        <w:tab/>
      </w:r>
      <w:r>
        <w:rPr>
          <w:noProof/>
        </w:rPr>
        <w:fldChar w:fldCharType="begin"/>
      </w:r>
      <w:r>
        <w:rPr>
          <w:noProof/>
        </w:rPr>
        <w:instrText xml:space="preserve"> PAGEREF _Toc386016588 \h </w:instrText>
      </w:r>
      <w:r>
        <w:rPr>
          <w:noProof/>
        </w:rPr>
      </w:r>
      <w:r>
        <w:rPr>
          <w:noProof/>
        </w:rPr>
        <w:fldChar w:fldCharType="separate"/>
      </w:r>
      <w:r w:rsidR="000A0E2E">
        <w:rPr>
          <w:noProof/>
        </w:rPr>
        <w:t>8</w:t>
      </w:r>
      <w:r>
        <w:rPr>
          <w:noProof/>
        </w:rPr>
        <w:fldChar w:fldCharType="end"/>
      </w:r>
    </w:p>
    <w:p w:rsidR="003F3B3C" w:rsidRPr="008C347D" w:rsidRDefault="00495EEA">
      <w:pPr>
        <w:pStyle w:val="TOC1"/>
        <w:tabs>
          <w:tab w:val="right" w:leader="dot" w:pos="9524"/>
        </w:tabs>
        <w:sectPr w:rsidR="003F3B3C" w:rsidRPr="008C347D">
          <w:type w:val="continuous"/>
          <w:pgSz w:w="11906" w:h="16838"/>
          <w:pgMar w:top="1372" w:right="1191" w:bottom="1361" w:left="1191" w:header="567" w:footer="584" w:gutter="0"/>
          <w:cols w:space="720"/>
          <w:docGrid w:linePitch="360"/>
        </w:sectPr>
      </w:pPr>
      <w:r w:rsidRPr="008C347D">
        <w:fldChar w:fldCharType="end"/>
      </w:r>
    </w:p>
    <w:p w:rsidR="003F3B3C" w:rsidRPr="008C347D" w:rsidRDefault="003F3B3C">
      <w:pPr>
        <w:tabs>
          <w:tab w:val="left" w:pos="567"/>
          <w:tab w:val="left" w:pos="600"/>
          <w:tab w:val="right" w:leader="dot" w:pos="4616"/>
          <w:tab w:val="right" w:leader="dot" w:pos="9524"/>
        </w:tabs>
        <w:rPr>
          <w:rFonts w:ascii="Arial" w:hAnsi="Arial" w:cs="Arial"/>
          <w:b/>
        </w:rPr>
      </w:pPr>
    </w:p>
    <w:p w:rsidR="00473962" w:rsidRPr="00473962" w:rsidRDefault="006506BD" w:rsidP="006506BD">
      <w:pPr>
        <w:pStyle w:val="Heading1"/>
        <w:pageBreakBefore/>
      </w:pPr>
      <w:bookmarkStart w:id="2" w:name="__RefHeading__7_768757415"/>
      <w:bookmarkStart w:id="3" w:name="_Toc386016573"/>
      <w:bookmarkEnd w:id="2"/>
      <w:r>
        <w:lastRenderedPageBreak/>
        <w:t>Einführung</w:t>
      </w:r>
      <w:bookmarkEnd w:id="3"/>
    </w:p>
    <w:p w:rsidR="003F3B3C" w:rsidRDefault="00CB4459">
      <w:r>
        <w:t>Das Lautsprecher Linien-Isolator-System soll eine kostengünstige Alternative zur Sicherstellung der Funktionalität von Beschallungs- und Sprachalarmierungssystemen bei Bränden und anderen Unglücksfällen sein. Der Hauptzweck des Systems liegt darin, Audiofunktionsausfälle infolge von Lautsprecherlinienfehlern zu verhindern.</w:t>
      </w:r>
    </w:p>
    <w:p w:rsidR="00621324" w:rsidRDefault="00621324"/>
    <w:p w:rsidR="00621324" w:rsidRDefault="00621324" w:rsidP="00621324">
      <w:r>
        <w:t>Der Bedarf teurer E30-Verkabelung ist durch Anwendung der Ringleitungsmethode weitestgehend zu eliminieren. Das System muss vollständig überwacht sein und den Anforderungen des Beschallungs-/</w:t>
      </w:r>
      <w:r w:rsidR="00954D28">
        <w:br/>
      </w:r>
      <w:r>
        <w:t>Sprachalarmierungssystems entsprechend konfigurierbar sein.</w:t>
      </w:r>
    </w:p>
    <w:p w:rsidR="00621324" w:rsidRDefault="00621324" w:rsidP="00621324"/>
    <w:p w:rsidR="00621324" w:rsidRDefault="00621324" w:rsidP="00621324">
      <w:r>
        <w:t>Zu den Anwendungen gehören:</w:t>
      </w:r>
    </w:p>
    <w:p w:rsidR="00621324" w:rsidRDefault="00621324" w:rsidP="00A727AA">
      <w:pPr>
        <w:pStyle w:val="ListParagraph"/>
        <w:numPr>
          <w:ilvl w:val="0"/>
          <w:numId w:val="13"/>
        </w:numPr>
      </w:pPr>
      <w:r>
        <w:t>Beschallungsanlagen, die große Bereiche abdecken, z. B. mehr als 25 Lautsprecher pro Zone</w:t>
      </w:r>
    </w:p>
    <w:p w:rsidR="00621324" w:rsidRPr="008C347D" w:rsidRDefault="00621324" w:rsidP="00A727AA">
      <w:pPr>
        <w:pStyle w:val="ListParagraph"/>
        <w:numPr>
          <w:ilvl w:val="0"/>
          <w:numId w:val="13"/>
        </w:numPr>
      </w:pPr>
      <w:r>
        <w:t>Sprachalarmierung: Standorte mit mehreren Räumen in derselben Brandzone</w:t>
      </w:r>
    </w:p>
    <w:p w:rsidR="003F3B3C" w:rsidRPr="008C347D" w:rsidRDefault="0048342F">
      <w:pPr>
        <w:pStyle w:val="Heading1"/>
      </w:pPr>
      <w:bookmarkStart w:id="4" w:name="__RefHeading__9_768757415"/>
      <w:bookmarkStart w:id="5" w:name="_Toc386016574"/>
      <w:bookmarkEnd w:id="4"/>
      <w:r>
        <w:t>Umfang der Spezifikation</w:t>
      </w:r>
      <w:bookmarkEnd w:id="5"/>
    </w:p>
    <w:p w:rsidR="00FE3769" w:rsidRDefault="0048342F">
      <w:r>
        <w:t>Die vorliegende Spezifikation umfasst die Bereitstellung, Installation und Wartung des Lautsprecher Linien-Isolator-Systems.</w:t>
      </w:r>
    </w:p>
    <w:p w:rsidR="003F3B3C" w:rsidRPr="008C347D" w:rsidRDefault="0048342F">
      <w:pPr>
        <w:pStyle w:val="Heading1"/>
      </w:pPr>
      <w:bookmarkStart w:id="6" w:name="__RefHeading__11_768757415"/>
      <w:bookmarkStart w:id="7" w:name="_Toc386016575"/>
      <w:bookmarkEnd w:id="6"/>
      <w:r>
        <w:t>Zusammenfassung des Systems</w:t>
      </w:r>
      <w:bookmarkEnd w:id="7"/>
    </w:p>
    <w:p w:rsidR="003F3B3C" w:rsidRPr="008C347D" w:rsidRDefault="0048342F">
      <w:pPr>
        <w:pStyle w:val="Heading2"/>
      </w:pPr>
      <w:bookmarkStart w:id="8" w:name="__RefHeading__13_768757415"/>
      <w:bookmarkStart w:id="9" w:name="_Toc386016576"/>
      <w:bookmarkEnd w:id="8"/>
      <w:r>
        <w:t>Systemübersicht</w:t>
      </w:r>
      <w:bookmarkEnd w:id="9"/>
    </w:p>
    <w:p w:rsidR="00621324" w:rsidRPr="00FB1C71" w:rsidRDefault="00621324">
      <w:pPr>
        <w:rPr>
          <w:spacing w:val="-4"/>
        </w:rPr>
      </w:pPr>
      <w:r w:rsidRPr="00FB1C71">
        <w:rPr>
          <w:spacing w:val="-4"/>
        </w:rPr>
        <w:t>Das Lautsprecher Linien-Isolator-System besteht aus einer Master-Einheit, Trennplatinen und DC-Blocker-Platinen.</w:t>
      </w:r>
    </w:p>
    <w:p w:rsidR="00C85DDD" w:rsidRDefault="00C85DDD"/>
    <w:p w:rsidR="004D1FC6" w:rsidRDefault="00C85DDD" w:rsidP="004D1FC6">
      <w:r>
        <w:t>Die Zonenausgänge des Beschallungs-/</w:t>
      </w:r>
      <w:r w:rsidR="00954D28">
        <w:br/>
      </w:r>
      <w:r>
        <w:t>Sprachalarmierungssystems sind an die Master-Einheit anzuschließen, die bis zu sechs 500-Watt-Lautsprecher-Ringleitungen verwalten kann. Die Trennplatinen sind in einer Reihenschaltung mit der Lautsprecher-Ringleitung zu verbinden und dienen zur Übertragung des Audiosignals aus dem Beschallungs-/</w:t>
      </w:r>
      <w:r w:rsidR="00954D28">
        <w:br/>
      </w:r>
      <w:r>
        <w:t>Sprachalarmierungssystem an die Lautsprecher.</w:t>
      </w:r>
    </w:p>
    <w:p w:rsidR="00C85DDD" w:rsidRDefault="00C85DDD"/>
    <w:p w:rsidR="00C85DDD" w:rsidRDefault="00C85DDD">
      <w:r>
        <w:t>Der Status jeder Ringleitung ist durch LEDs an der Vorderseite der Master-Einheit anzuzeigen. Auf der Vorderseite befinden sich zudem LEDs zur Anzeige des Status der Netzstrom- und Notstromversorgung. Sämtliche Fehleranzeigen auf der Vorderseite sind mit den Fehlerrelais auf der Rückseite der Master-Einheit zu verbinden.</w:t>
      </w:r>
    </w:p>
    <w:p w:rsidR="004D1FC6" w:rsidRDefault="004D1FC6" w:rsidP="004D1FC6">
      <w:r>
        <w:lastRenderedPageBreak/>
        <w:t xml:space="preserve">Auf der Rückseite der Einheit befinden sich die Anschlüsse, der Spannungswähler, der Netzschalter und </w:t>
      </w:r>
      <w:proofErr w:type="spellStart"/>
      <w:r>
        <w:t>DIP-Schalter</w:t>
      </w:r>
      <w:proofErr w:type="spellEnd"/>
      <w:r>
        <w:t xml:space="preserve"> für Installations- und Testzwecke.</w:t>
      </w:r>
    </w:p>
    <w:p w:rsidR="00473962" w:rsidRDefault="00473962"/>
    <w:p w:rsidR="00473962" w:rsidRDefault="00473962">
      <w:r>
        <w:t>Die Trennplatinen sind mit zwei 100-Volt-Audioanschlüssen auszustatten, mit denen sie an beiden Seiten der Lautsprecher-Ringleitung angeschaltet werden können, sowie einem dritten 100-Volt-Audioanschluss zum Schaffen eines Abzweigpunktes für einen oder mehrere Lautsprecher. Der zulässige Leistungspegel der Lautsprecher (10, 36, 100 Watt oder 10 Watt mit einem 20-kHz-Pilottonfilter) sowie weitere Überwachungseinstellungen sind mithilfe von Jumper-Einstellungen festzulegen.</w:t>
      </w:r>
    </w:p>
    <w:p w:rsidR="00473962" w:rsidRDefault="00473962"/>
    <w:p w:rsidR="00473962" w:rsidRDefault="00473962">
      <w:r>
        <w:t>Die Trennplatine ist mit einer Test-/Fehler-LED auszustatten. Die Trennplatine muss in einem roten Gehäuse der Schutzklasse IP30</w:t>
      </w:r>
      <w:r>
        <w:rPr>
          <w:rFonts w:ascii="MS Mincho" w:hAnsi="MS Mincho" w:cs="MS Mincho"/>
        </w:rPr>
        <w:t xml:space="preserve"> </w:t>
      </w:r>
      <w:r>
        <w:t>untergebracht werden. Die LED ist sichtbar, wenn die Platine in das Gehäuse eingebaut wird, und erlaubt so eine einfache Fehlersuche im System.</w:t>
      </w:r>
    </w:p>
    <w:p w:rsidR="00473962" w:rsidRDefault="00473962"/>
    <w:p w:rsidR="00473962" w:rsidRPr="00FB1C71" w:rsidRDefault="00473962">
      <w:pPr>
        <w:rPr>
          <w:spacing w:val="-4"/>
        </w:rPr>
      </w:pPr>
      <w:r w:rsidRPr="00FB1C71">
        <w:rPr>
          <w:spacing w:val="-4"/>
        </w:rPr>
        <w:t>Die DC-Blocker-Platine blockt Gleichspannung und bietet Überlastungsschutz durch Strombegrenzung. Sie muss über die gleichen Anschlüsse wie die Trennplatine verfügen, was das schnelle und problemlose Anschließen der Lautsprecher-Ringleitung und Abzweigverbindungen (10 Watt Lautsprecherleistung) gewährleistet.</w:t>
      </w:r>
    </w:p>
    <w:p w:rsidR="003F3B3C" w:rsidRPr="008C347D" w:rsidRDefault="0048342F">
      <w:pPr>
        <w:pStyle w:val="Heading2"/>
      </w:pPr>
      <w:bookmarkStart w:id="10" w:name="__RefHeading__15_768757415"/>
      <w:bookmarkStart w:id="11" w:name="_Toc386016577"/>
      <w:bookmarkEnd w:id="10"/>
      <w:r>
        <w:t>Systemfunktionen</w:t>
      </w:r>
      <w:bookmarkEnd w:id="11"/>
    </w:p>
    <w:p w:rsidR="00C56AE3" w:rsidRDefault="00C56AE3" w:rsidP="004D1FC6">
      <w:r>
        <w:t>Die Master-Einheit dient zur Überwachung der Lautsprecher-Ringleitung auf Ringleitungsfehler und zeigt diese an der Vorderseite an.</w:t>
      </w:r>
    </w:p>
    <w:p w:rsidR="00C56AE3" w:rsidRDefault="00C56AE3" w:rsidP="004D1FC6"/>
    <w:p w:rsidR="004D1FC6" w:rsidRDefault="004D1FC6" w:rsidP="004D1FC6">
      <w:r>
        <w:t>Zu den Hauptfunktionen der Trennplatinen gehören:</w:t>
      </w:r>
    </w:p>
    <w:p w:rsidR="004D1FC6" w:rsidRDefault="004D1FC6" w:rsidP="00A727AA">
      <w:pPr>
        <w:pStyle w:val="ListParagraph"/>
        <w:numPr>
          <w:ilvl w:val="0"/>
          <w:numId w:val="15"/>
        </w:numPr>
      </w:pPr>
      <w:r>
        <w:t>Kurzschlüsse im nebenliegenden Segment finden und isolieren</w:t>
      </w:r>
    </w:p>
    <w:p w:rsidR="004D1FC6" w:rsidRDefault="004D1FC6" w:rsidP="00A727AA">
      <w:pPr>
        <w:pStyle w:val="ListParagraph"/>
        <w:numPr>
          <w:ilvl w:val="0"/>
          <w:numId w:val="15"/>
        </w:numPr>
      </w:pPr>
      <w:r>
        <w:t>Unterbrechungen, Kurzschlüsse und Überlastungen an Abzweigpunkten finden und isolieren</w:t>
      </w:r>
    </w:p>
    <w:p w:rsidR="003F3B3C" w:rsidRPr="008C347D" w:rsidRDefault="00A727AA" w:rsidP="0058690F">
      <w:pPr>
        <w:pStyle w:val="Heading2"/>
        <w:pageBreakBefore/>
        <w:ind w:left="504" w:hanging="504"/>
      </w:pPr>
      <w:bookmarkStart w:id="12" w:name="__RefHeading__17_768757415"/>
      <w:bookmarkStart w:id="13" w:name="_Toc386016578"/>
      <w:bookmarkEnd w:id="12"/>
      <w:r>
        <w:lastRenderedPageBreak/>
        <w:t>Zulassungen und Konformität</w:t>
      </w:r>
      <w:bookmarkEnd w:id="13"/>
    </w:p>
    <w:p w:rsidR="004D1FC6" w:rsidRDefault="0048342F">
      <w:r>
        <w:t>Das Lautsprecher Linien-Isolator-System hat allen anwendbaren Vorschriften und Normen für Einrichtungen dieser Art zu entsprechen und verfügt insbesondere über die folgenden Zulassungen und Konformitätsfeststellungen:</w:t>
      </w:r>
    </w:p>
    <w:p w:rsidR="00A727AA" w:rsidRDefault="00A727AA"/>
    <w:p w:rsidR="00A727AA" w:rsidRDefault="00A727AA">
      <w:pPr>
        <w:rPr>
          <w:b/>
        </w:rPr>
      </w:pPr>
      <w:r>
        <w:rPr>
          <w:b/>
        </w:rPr>
        <w:t>Zulassungen</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Sicherheit</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t>gemäß EN 60065</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 xml:space="preserve">Emissionen </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t>gemäß EN 55103</w:t>
            </w:r>
            <w:r w:rsidR="00A727AA" w:rsidRPr="00A727AA">
              <w:rPr>
                <w:rFonts w:eastAsia="Arial Unicode MS"/>
                <w:lang w:eastAsia="en-US"/>
              </w:rPr>
              <w:noBreakHyphen/>
            </w:r>
            <w:r>
              <w:t>1</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Störfestigkeit</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t>gemäß EN 55103</w:t>
            </w:r>
            <w:r w:rsidR="00A727AA" w:rsidRPr="00A727AA">
              <w:rPr>
                <w:rFonts w:eastAsia="Arial Unicode MS"/>
                <w:lang w:eastAsia="en-US"/>
              </w:rPr>
              <w:noBreakHyphen/>
            </w:r>
            <w:r>
              <w:t>2 und EN 50130</w:t>
            </w:r>
            <w:r w:rsidR="00A727AA" w:rsidRPr="00A727AA">
              <w:rPr>
                <w:rFonts w:eastAsia="Arial Unicode MS"/>
                <w:lang w:eastAsia="en-US"/>
              </w:rPr>
              <w:noBreakHyphen/>
            </w:r>
            <w:r>
              <w:t>4</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Schiffsalarmtöne</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t>gemäß EN 60945</w:t>
            </w:r>
          </w:p>
        </w:tc>
      </w:tr>
      <w:tr w:rsidR="006442CA" w:rsidRPr="00F631EB" w:rsidTr="003C225F">
        <w:tc>
          <w:tcPr>
            <w:tcW w:w="2154" w:type="dxa"/>
            <w:shd w:val="clear" w:color="auto" w:fill="auto"/>
            <w:tcMar>
              <w:left w:w="0" w:type="dxa"/>
              <w:right w:w="0" w:type="dxa"/>
            </w:tcMar>
          </w:tcPr>
          <w:p w:rsidR="006442CA" w:rsidRPr="00A727AA" w:rsidRDefault="006442CA" w:rsidP="00A727AA">
            <w:pPr>
              <w:spacing w:after="120"/>
              <w:rPr>
                <w:rFonts w:eastAsia="Arial Unicode MS"/>
                <w:lang w:eastAsia="en-US"/>
              </w:rPr>
            </w:pPr>
            <w:r>
              <w:t>Evakuierung</w:t>
            </w:r>
          </w:p>
        </w:tc>
        <w:tc>
          <w:tcPr>
            <w:tcW w:w="2268" w:type="dxa"/>
            <w:shd w:val="pct10" w:color="auto" w:fill="auto"/>
            <w:tcMar>
              <w:left w:w="0" w:type="dxa"/>
              <w:right w:w="0" w:type="dxa"/>
            </w:tcMar>
          </w:tcPr>
          <w:p w:rsidR="006442CA" w:rsidRPr="00A727AA" w:rsidRDefault="006442CA" w:rsidP="00A727AA">
            <w:pPr>
              <w:spacing w:after="120"/>
              <w:rPr>
                <w:rFonts w:eastAsia="Arial Unicode MS"/>
                <w:lang w:eastAsia="en-US"/>
              </w:rPr>
            </w:pPr>
            <w:r>
              <w:t>gemäß EN 54</w:t>
            </w:r>
            <w:r w:rsidRPr="00A727AA">
              <w:rPr>
                <w:rFonts w:eastAsia="Arial Unicode MS"/>
                <w:lang w:eastAsia="en-US"/>
              </w:rPr>
              <w:noBreakHyphen/>
            </w:r>
            <w:r>
              <w:t>16</w:t>
            </w:r>
          </w:p>
        </w:tc>
      </w:tr>
    </w:tbl>
    <w:p w:rsidR="00A727AA" w:rsidRDefault="00A727AA"/>
    <w:p w:rsidR="00A727AA" w:rsidRPr="00A727AA" w:rsidRDefault="00A727AA">
      <w:pPr>
        <w:rPr>
          <w:b/>
        </w:rPr>
      </w:pPr>
      <w:r>
        <w:rPr>
          <w:b/>
        </w:rPr>
        <w:t>Konform mit</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Für den Einsatz geeignet gemäß</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NEN2575, VDE0833 und BS5839</w:t>
            </w:r>
          </w:p>
        </w:tc>
      </w:tr>
      <w:tr w:rsidR="006442CA" w:rsidRPr="00F631EB" w:rsidTr="003C225F">
        <w:tc>
          <w:tcPr>
            <w:tcW w:w="2154" w:type="dxa"/>
            <w:shd w:val="clear" w:color="auto" w:fill="auto"/>
            <w:tcMar>
              <w:left w:w="0" w:type="dxa"/>
              <w:right w:w="0" w:type="dxa"/>
            </w:tcMar>
          </w:tcPr>
          <w:p w:rsidR="006442CA" w:rsidRPr="00A727AA" w:rsidRDefault="006442CA" w:rsidP="009C1311">
            <w:pPr>
              <w:spacing w:after="120"/>
              <w:rPr>
                <w:rFonts w:eastAsia="Arial Unicode MS"/>
                <w:lang w:eastAsia="en-US"/>
              </w:rPr>
            </w:pPr>
            <w:r>
              <w:t>Evakuierung</w:t>
            </w:r>
          </w:p>
        </w:tc>
        <w:tc>
          <w:tcPr>
            <w:tcW w:w="2268" w:type="dxa"/>
            <w:shd w:val="pct10" w:color="auto" w:fill="auto"/>
            <w:tcMar>
              <w:left w:w="0" w:type="dxa"/>
              <w:right w:w="0" w:type="dxa"/>
            </w:tcMar>
          </w:tcPr>
          <w:p w:rsidR="006442CA" w:rsidRPr="00A727AA" w:rsidRDefault="006442CA" w:rsidP="009C1311">
            <w:pPr>
              <w:spacing w:after="120"/>
              <w:rPr>
                <w:rFonts w:eastAsia="Arial Unicode MS"/>
                <w:lang w:eastAsia="en-US"/>
              </w:rPr>
            </w:pPr>
            <w:r>
              <w:t>gemäß EN 60849</w:t>
            </w:r>
          </w:p>
        </w:tc>
      </w:tr>
    </w:tbl>
    <w:p w:rsidR="00A727AA" w:rsidRDefault="00A727AA"/>
    <w:p w:rsidR="006C3EA1" w:rsidRDefault="0048342F">
      <w:r>
        <w:t>Außerdem hat die Anlage allen anwendbaren internationalen, nationalen und örtlichen Bestimmungen für den Entwurf, den Bau und die Installation von elektrischen Geräten zu entsprechen.</w:t>
      </w:r>
    </w:p>
    <w:p w:rsidR="00A727AA" w:rsidRDefault="00A727AA">
      <w:pPr>
        <w:suppressAutoHyphens w:val="0"/>
        <w:rPr>
          <w:rFonts w:ascii="Arial" w:hAnsi="Arial" w:cs="Arial"/>
          <w:b/>
          <w:iCs/>
          <w:kern w:val="1"/>
          <w:sz w:val="24"/>
          <w:szCs w:val="28"/>
        </w:rPr>
      </w:pPr>
    </w:p>
    <w:p w:rsidR="006C3EA1" w:rsidRDefault="006C3EA1" w:rsidP="006C3EA1">
      <w:pPr>
        <w:pStyle w:val="Heading2"/>
      </w:pPr>
      <w:bookmarkStart w:id="14" w:name="_Toc386016579"/>
      <w:r>
        <w:t>Systemkompatibilität</w:t>
      </w:r>
      <w:bookmarkEnd w:id="14"/>
    </w:p>
    <w:p w:rsidR="006C3EA1" w:rsidRDefault="006C3EA1" w:rsidP="006C3EA1">
      <w:r>
        <w:t>Das Lautsprecher Linien-Isolator-System ist mit den folgenden Produkten und Produktlinien zu testen:</w:t>
      </w:r>
    </w:p>
    <w:p w:rsidR="006C3EA1" w:rsidRDefault="006C3EA1" w:rsidP="006C3EA1"/>
    <w:p w:rsidR="006C3EA1" w:rsidRDefault="006C3EA1" w:rsidP="006C3EA1">
      <w:r>
        <w:rPr>
          <w:b/>
        </w:rPr>
        <w:t>Produktlinien</w:t>
      </w:r>
      <w:r>
        <w:t>:</w:t>
      </w:r>
    </w:p>
    <w:p w:rsidR="006C3EA1" w:rsidRDefault="00031AE9" w:rsidP="00A727AA">
      <w:pPr>
        <w:pStyle w:val="ListParagraph"/>
        <w:numPr>
          <w:ilvl w:val="0"/>
          <w:numId w:val="16"/>
        </w:numPr>
      </w:pPr>
      <w:proofErr w:type="spellStart"/>
      <w:r>
        <w:t>Praesideo</w:t>
      </w:r>
      <w:proofErr w:type="spellEnd"/>
      <w:r>
        <w:t xml:space="preserve"> Evakuierungsanlage</w:t>
      </w:r>
    </w:p>
    <w:p w:rsidR="006C3EA1" w:rsidRDefault="00E96594" w:rsidP="00A727AA">
      <w:pPr>
        <w:pStyle w:val="ListParagraph"/>
        <w:numPr>
          <w:ilvl w:val="0"/>
          <w:numId w:val="16"/>
        </w:numPr>
      </w:pPr>
      <w:proofErr w:type="spellStart"/>
      <w:r>
        <w:t>Plena</w:t>
      </w:r>
      <w:proofErr w:type="spellEnd"/>
      <w:r>
        <w:t xml:space="preserve"> (VAS) Sprachalarmierungssystem</w:t>
      </w:r>
    </w:p>
    <w:p w:rsidR="006C3EA1" w:rsidRDefault="006C3EA1" w:rsidP="006C3EA1">
      <w:proofErr w:type="spellStart"/>
      <w:r>
        <w:rPr>
          <w:b/>
        </w:rPr>
        <w:t>Praesideo</w:t>
      </w:r>
      <w:proofErr w:type="spellEnd"/>
      <w:r>
        <w:rPr>
          <w:b/>
        </w:rPr>
        <w:t xml:space="preserve"> Verstärker</w:t>
      </w:r>
      <w:r>
        <w:t>:</w:t>
      </w:r>
    </w:p>
    <w:p w:rsidR="00917B6F" w:rsidRDefault="00C24A4B" w:rsidP="00A727AA">
      <w:pPr>
        <w:pStyle w:val="ListParagraph"/>
        <w:numPr>
          <w:ilvl w:val="0"/>
          <w:numId w:val="17"/>
        </w:numPr>
      </w:pPr>
      <w:r>
        <w:t>Leistungsverstärker: PRS-1P500, PRS-2P250 und PRS-4P125</w:t>
      </w:r>
    </w:p>
    <w:p w:rsidR="006C3EA1" w:rsidRDefault="006C3EA1" w:rsidP="00A727AA">
      <w:pPr>
        <w:pStyle w:val="ListParagraph"/>
        <w:numPr>
          <w:ilvl w:val="0"/>
          <w:numId w:val="17"/>
        </w:numPr>
      </w:pPr>
      <w:r>
        <w:t>Basisverstärker: PRS-1B500, PRS-2B250 und PRS-4B125</w:t>
      </w:r>
    </w:p>
    <w:p w:rsidR="006C3EA1" w:rsidRDefault="00E96594" w:rsidP="006C3EA1">
      <w:r>
        <w:rPr>
          <w:b/>
        </w:rPr>
        <w:t xml:space="preserve">Elemente des </w:t>
      </w:r>
      <w:proofErr w:type="spellStart"/>
      <w:r>
        <w:rPr>
          <w:b/>
        </w:rPr>
        <w:t>Plena</w:t>
      </w:r>
      <w:proofErr w:type="spellEnd"/>
      <w:r>
        <w:rPr>
          <w:b/>
        </w:rPr>
        <w:t xml:space="preserve"> Sprachalarmierungssystems</w:t>
      </w:r>
      <w:r>
        <w:t>:</w:t>
      </w:r>
    </w:p>
    <w:p w:rsidR="00917B6F" w:rsidRDefault="006C3EA1" w:rsidP="00A727AA">
      <w:pPr>
        <w:pStyle w:val="ListParagraph"/>
        <w:numPr>
          <w:ilvl w:val="0"/>
          <w:numId w:val="18"/>
        </w:numPr>
      </w:pPr>
      <w:proofErr w:type="spellStart"/>
      <w:r>
        <w:t>Plena</w:t>
      </w:r>
      <w:proofErr w:type="spellEnd"/>
      <w:r>
        <w:t xml:space="preserve"> Voice Alarm Controller: LBB1990/00</w:t>
      </w:r>
    </w:p>
    <w:p w:rsidR="00917B6F" w:rsidRDefault="006C3EA1" w:rsidP="00A727AA">
      <w:pPr>
        <w:pStyle w:val="ListParagraph"/>
        <w:numPr>
          <w:ilvl w:val="0"/>
          <w:numId w:val="18"/>
        </w:numPr>
      </w:pPr>
      <w:proofErr w:type="spellStart"/>
      <w:r>
        <w:t>Plena</w:t>
      </w:r>
      <w:proofErr w:type="spellEnd"/>
      <w:r>
        <w:t xml:space="preserve"> Voice Alarm Router: LBB1992/00</w:t>
      </w:r>
    </w:p>
    <w:p w:rsidR="006C3EA1" w:rsidRDefault="006C3EA1" w:rsidP="00A727AA">
      <w:pPr>
        <w:pStyle w:val="ListParagraph"/>
        <w:numPr>
          <w:ilvl w:val="0"/>
          <w:numId w:val="18"/>
        </w:numPr>
      </w:pPr>
      <w:proofErr w:type="spellStart"/>
      <w:r>
        <w:t>Plena</w:t>
      </w:r>
      <w:proofErr w:type="spellEnd"/>
      <w:r>
        <w:t xml:space="preserve"> Leistungsverstärker: LBB1930/20, LBB1935/20 und LBB1938/20</w:t>
      </w:r>
    </w:p>
    <w:p w:rsidR="008C33E1" w:rsidRDefault="008C33E1" w:rsidP="006C3EA1"/>
    <w:p w:rsidR="006C3EA1" w:rsidRDefault="006C3EA1" w:rsidP="006C3EA1">
      <w:r>
        <w:t xml:space="preserve">Die Kompatibilität des Lautsprecher Linien-Isolator-Systems mit der </w:t>
      </w:r>
      <w:proofErr w:type="spellStart"/>
      <w:r>
        <w:t>Praesideo</w:t>
      </w:r>
      <w:proofErr w:type="spellEnd"/>
      <w:r>
        <w:t xml:space="preserve"> Familie der</w:t>
      </w:r>
    </w:p>
    <w:p w:rsidR="006C3EA1" w:rsidRDefault="006C3EA1" w:rsidP="006C3EA1">
      <w:r>
        <w:t>Lautsprecherüberwachungsprodukte (LBB4440/00, LBB4441/00, LBB4442/00 und LBB4443/00) ist sicherzustellen.</w:t>
      </w:r>
    </w:p>
    <w:p w:rsidR="003F3B3C" w:rsidRDefault="00313FAD">
      <w:pPr>
        <w:pStyle w:val="Heading2"/>
      </w:pPr>
      <w:bookmarkStart w:id="15" w:name="__RefHeading__19_768757415"/>
      <w:bookmarkEnd w:id="15"/>
      <w:r>
        <w:br w:type="column"/>
      </w:r>
      <w:bookmarkStart w:id="16" w:name="_Toc386016580"/>
      <w:r w:rsidR="0048342F">
        <w:lastRenderedPageBreak/>
        <w:t>Systemkonfiguration</w:t>
      </w:r>
      <w:bookmarkEnd w:id="16"/>
    </w:p>
    <w:p w:rsidR="004D1FC6" w:rsidRDefault="00A71813" w:rsidP="004D1FC6">
      <w:r>
        <w:t>Die folgenden Installationsoptionen sind zu gewährleisten:</w:t>
      </w:r>
    </w:p>
    <w:p w:rsidR="00A71813" w:rsidRDefault="00A71813" w:rsidP="0058690F">
      <w:pPr>
        <w:spacing w:after="80"/>
      </w:pPr>
    </w:p>
    <w:p w:rsidR="008A158A" w:rsidRDefault="008A158A" w:rsidP="008A158A">
      <w:pPr>
        <w:rPr>
          <w:b/>
        </w:rPr>
      </w:pPr>
      <w:r>
        <w:rPr>
          <w:b/>
        </w:rPr>
        <w:t>Installationsoption 1: Eine Trennplatine für jeden Lautsprecher:</w:t>
      </w:r>
    </w:p>
    <w:p w:rsidR="007F4F4A" w:rsidRDefault="007F4F4A" w:rsidP="007F4F4A">
      <w:r>
        <w:t>Bei dieser Option sollen maximal 50 Trennplatinen in jeder Lautsprecher-Ringleitung installiert werden können.</w:t>
      </w:r>
    </w:p>
    <w:p w:rsidR="00A71813" w:rsidRDefault="00A71813" w:rsidP="004D1FC6"/>
    <w:p w:rsidR="00A71813" w:rsidRDefault="008A158A" w:rsidP="004D1FC6">
      <w:r>
        <w:rPr>
          <w:noProof/>
          <w:lang w:val="en-US" w:eastAsia="zh-TW"/>
        </w:rPr>
        <w:drawing>
          <wp:inline distT="0" distB="0" distL="0" distR="0">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19" cstate="print"/>
                    <a:stretch>
                      <a:fillRect/>
                    </a:stretch>
                  </pic:blipFill>
                  <pic:spPr>
                    <a:xfrm>
                      <a:off x="0" y="0"/>
                      <a:ext cx="2865755" cy="1656715"/>
                    </a:xfrm>
                    <a:prstGeom prst="rect">
                      <a:avLst/>
                    </a:prstGeom>
                  </pic:spPr>
                </pic:pic>
              </a:graphicData>
            </a:graphic>
          </wp:inline>
        </w:drawing>
      </w:r>
    </w:p>
    <w:p w:rsidR="008A158A" w:rsidRDefault="008A158A" w:rsidP="008A158A"/>
    <w:p w:rsidR="00A71813" w:rsidRDefault="00A71813" w:rsidP="00A71813"/>
    <w:p w:rsidR="00A71813" w:rsidRPr="00822F5C" w:rsidRDefault="00EA2FCF" w:rsidP="00A71813">
      <w:pPr>
        <w:rPr>
          <w:b/>
          <w:spacing w:val="-4"/>
        </w:rPr>
      </w:pPr>
      <w:r w:rsidRPr="00822F5C">
        <w:rPr>
          <w:b/>
          <w:spacing w:val="-4"/>
        </w:rPr>
        <w:t>Installationsoption 2: Verzweigung von Lautsprechern, die an eine Trennplatine angeschlossen ist:</w:t>
      </w:r>
    </w:p>
    <w:p w:rsidR="007F4F4A" w:rsidRDefault="007F4F4A" w:rsidP="004D1FC6"/>
    <w:p w:rsidR="00A71813" w:rsidRDefault="007F4F4A" w:rsidP="004D1FC6">
      <w:r>
        <w:rPr>
          <w:noProof/>
          <w:lang w:val="en-US" w:eastAsia="zh-TW"/>
        </w:rPr>
        <w:drawing>
          <wp:inline distT="0" distB="0" distL="0" distR="0">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20" cstate="print"/>
                    <a:stretch>
                      <a:fillRect/>
                    </a:stretch>
                  </pic:blipFill>
                  <pic:spPr>
                    <a:xfrm>
                      <a:off x="0" y="0"/>
                      <a:ext cx="2865755" cy="1788160"/>
                    </a:xfrm>
                    <a:prstGeom prst="rect">
                      <a:avLst/>
                    </a:prstGeom>
                  </pic:spPr>
                </pic:pic>
              </a:graphicData>
            </a:graphic>
          </wp:inline>
        </w:drawing>
      </w:r>
    </w:p>
    <w:p w:rsidR="00670F2A" w:rsidRDefault="00670F2A" w:rsidP="004D1FC6"/>
    <w:p w:rsidR="00A71813" w:rsidRDefault="00A71813" w:rsidP="004D1FC6"/>
    <w:p w:rsidR="00EA2FCF" w:rsidRDefault="00EA2FCF" w:rsidP="004D1FC6"/>
    <w:p w:rsidR="004D1FC6" w:rsidRDefault="00A71813" w:rsidP="004D1FC6">
      <w:pPr>
        <w:rPr>
          <w:b/>
        </w:rPr>
      </w:pPr>
      <w:r>
        <w:rPr>
          <w:b/>
        </w:rPr>
        <w:t>Installationsoption 3: Lautsprecher sind über die Trennplatinen verbunden:</w:t>
      </w:r>
    </w:p>
    <w:p w:rsidR="007F4F4A" w:rsidRDefault="007F4F4A" w:rsidP="004D1FC6">
      <w:pPr>
        <w:rPr>
          <w:b/>
        </w:rPr>
      </w:pPr>
    </w:p>
    <w:p w:rsidR="007F4F4A" w:rsidRDefault="007F4F4A" w:rsidP="004D1FC6">
      <w:pPr>
        <w:rPr>
          <w:b/>
        </w:rPr>
      </w:pPr>
      <w:r>
        <w:rPr>
          <w:b/>
          <w:noProof/>
          <w:lang w:val="en-US" w:eastAsia="zh-TW"/>
        </w:rPr>
        <w:drawing>
          <wp:inline distT="0" distB="0" distL="0" distR="0">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1" cstate="print"/>
                    <a:stretch>
                      <a:fillRect/>
                    </a:stretch>
                  </pic:blipFill>
                  <pic:spPr>
                    <a:xfrm>
                      <a:off x="0" y="0"/>
                      <a:ext cx="2865755" cy="1558925"/>
                    </a:xfrm>
                    <a:prstGeom prst="rect">
                      <a:avLst/>
                    </a:prstGeom>
                  </pic:spPr>
                </pic:pic>
              </a:graphicData>
            </a:graphic>
          </wp:inline>
        </w:drawing>
      </w:r>
    </w:p>
    <w:p w:rsidR="007F4F4A" w:rsidRDefault="007F4F4A" w:rsidP="004D1FC6">
      <w:pPr>
        <w:rPr>
          <w:b/>
        </w:rPr>
      </w:pPr>
    </w:p>
    <w:p w:rsidR="00EA2FCF" w:rsidRDefault="00EA2FCF" w:rsidP="004D1FC6">
      <w:pPr>
        <w:rPr>
          <w:b/>
        </w:rPr>
      </w:pPr>
    </w:p>
    <w:p w:rsidR="00EA2FCF" w:rsidRDefault="00EA2FCF" w:rsidP="004D1FC6">
      <w:pPr>
        <w:rPr>
          <w:b/>
        </w:rPr>
      </w:pPr>
    </w:p>
    <w:p w:rsidR="007F4F4A" w:rsidRDefault="007F4F4A" w:rsidP="008433C5">
      <w:pPr>
        <w:pageBreakBefore/>
        <w:spacing w:before="320"/>
        <w:rPr>
          <w:b/>
        </w:rPr>
      </w:pPr>
      <w:r>
        <w:rPr>
          <w:b/>
        </w:rPr>
        <w:lastRenderedPageBreak/>
        <w:t>Kombinierte Installationsoptionen:</w:t>
      </w:r>
    </w:p>
    <w:p w:rsidR="007F4F4A" w:rsidRPr="007F4F4A" w:rsidRDefault="007F4F4A" w:rsidP="004D1FC6">
      <w:r>
        <w:t>Die Kombination von Installationsoptionen ist möglich:</w:t>
      </w:r>
    </w:p>
    <w:p w:rsidR="007F4F4A" w:rsidRDefault="007F4F4A" w:rsidP="004D1FC6">
      <w:pPr>
        <w:rPr>
          <w:b/>
        </w:rPr>
      </w:pPr>
    </w:p>
    <w:p w:rsidR="007F4F4A" w:rsidRDefault="007F4F4A" w:rsidP="004D1FC6">
      <w:pPr>
        <w:rPr>
          <w:b/>
        </w:rPr>
      </w:pPr>
      <w:r>
        <w:rPr>
          <w:b/>
          <w:noProof/>
          <w:lang w:val="en-US" w:eastAsia="zh-TW"/>
        </w:rPr>
        <w:drawing>
          <wp:inline distT="0" distB="0" distL="0" distR="0">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2" cstate="print"/>
                    <a:stretch>
                      <a:fillRect/>
                    </a:stretch>
                  </pic:blipFill>
                  <pic:spPr>
                    <a:xfrm>
                      <a:off x="0" y="0"/>
                      <a:ext cx="2865755" cy="1638935"/>
                    </a:xfrm>
                    <a:prstGeom prst="rect">
                      <a:avLst/>
                    </a:prstGeom>
                  </pic:spPr>
                </pic:pic>
              </a:graphicData>
            </a:graphic>
          </wp:inline>
        </w:drawing>
      </w:r>
    </w:p>
    <w:p w:rsidR="0074040C" w:rsidRDefault="0074040C" w:rsidP="004D1FC6">
      <w:pPr>
        <w:rPr>
          <w:b/>
        </w:rPr>
      </w:pPr>
    </w:p>
    <w:p w:rsidR="007F4F4A" w:rsidRDefault="007F4F4A" w:rsidP="004D1FC6">
      <w:pPr>
        <w:rPr>
          <w:b/>
        </w:rPr>
      </w:pPr>
    </w:p>
    <w:tbl>
      <w:tblPr>
        <w:tblW w:w="4216" w:type="dxa"/>
        <w:tblInd w:w="292" w:type="dxa"/>
        <w:tblLayout w:type="fixed"/>
        <w:tblCellMar>
          <w:left w:w="0" w:type="dxa"/>
          <w:right w:w="0" w:type="dxa"/>
        </w:tblCellMar>
        <w:tblLook w:val="0000" w:firstRow="0" w:lastRow="0" w:firstColumn="0" w:lastColumn="0" w:noHBand="0" w:noVBand="0"/>
      </w:tblPr>
      <w:tblGrid>
        <w:gridCol w:w="425"/>
        <w:gridCol w:w="3791"/>
      </w:tblGrid>
      <w:tr w:rsidR="0074040C" w:rsidRPr="000B0BF6" w:rsidTr="00822F5C">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0B0BF6" w:rsidRDefault="0074040C" w:rsidP="00954D28">
            <w:pPr>
              <w:ind w:left="14"/>
              <w:rPr>
                <w:b/>
              </w:rPr>
            </w:pPr>
            <w:r>
              <w:rPr>
                <w:b/>
              </w:rPr>
              <w:t>Nr.</w:t>
            </w:r>
          </w:p>
        </w:tc>
        <w:tc>
          <w:tcPr>
            <w:tcW w:w="3791"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0B0BF6" w:rsidRDefault="0074040C" w:rsidP="00954D28">
            <w:pPr>
              <w:ind w:left="14"/>
              <w:rPr>
                <w:b/>
              </w:rPr>
            </w:pPr>
            <w:r>
              <w:rPr>
                <w:b/>
              </w:rPr>
              <w:t>Teil</w:t>
            </w:r>
          </w:p>
        </w:tc>
      </w:tr>
      <w:tr w:rsidR="0074040C" w:rsidRPr="000B0BF6" w:rsidTr="00822F5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1</w:t>
            </w:r>
          </w:p>
        </w:tc>
        <w:tc>
          <w:tcPr>
            <w:tcW w:w="379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Zonenausgänge aus Beschallungs- und Sprachalarmierungssystem</w:t>
            </w:r>
          </w:p>
        </w:tc>
      </w:tr>
      <w:tr w:rsidR="0074040C" w:rsidRPr="000B0BF6" w:rsidTr="00822F5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2</w:t>
            </w:r>
          </w:p>
        </w:tc>
        <w:tc>
          <w:tcPr>
            <w:tcW w:w="379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Master-Einheit</w:t>
            </w:r>
          </w:p>
        </w:tc>
      </w:tr>
      <w:tr w:rsidR="0074040C" w:rsidRPr="000B0BF6" w:rsidTr="00822F5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3</w:t>
            </w:r>
          </w:p>
        </w:tc>
        <w:tc>
          <w:tcPr>
            <w:tcW w:w="379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 xml:space="preserve">Lautsprecher-Ringleitung </w:t>
            </w:r>
            <w:r w:rsidR="00822F5C">
              <w:br/>
            </w:r>
            <w:r>
              <w:t>(eine Ringleitung abgebildet)</w:t>
            </w:r>
          </w:p>
        </w:tc>
      </w:tr>
      <w:tr w:rsidR="0074040C" w:rsidRPr="000B0BF6" w:rsidTr="00822F5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4</w:t>
            </w:r>
          </w:p>
        </w:tc>
        <w:tc>
          <w:tcPr>
            <w:tcW w:w="379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Trennplatine</w:t>
            </w:r>
          </w:p>
        </w:tc>
      </w:tr>
      <w:tr w:rsidR="0074040C" w:rsidRPr="000B0BF6" w:rsidTr="00822F5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5</w:t>
            </w:r>
          </w:p>
        </w:tc>
        <w:tc>
          <w:tcPr>
            <w:tcW w:w="379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Lautsprecher</w:t>
            </w:r>
          </w:p>
        </w:tc>
      </w:tr>
      <w:tr w:rsidR="0074040C" w:rsidRPr="000B0BF6" w:rsidTr="00822F5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6</w:t>
            </w:r>
          </w:p>
        </w:tc>
        <w:tc>
          <w:tcPr>
            <w:tcW w:w="379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954D28">
            <w:pPr>
              <w:ind w:left="14"/>
            </w:pPr>
            <w:r>
              <w:t>DC-Blocker-Platine</w:t>
            </w:r>
          </w:p>
        </w:tc>
      </w:tr>
    </w:tbl>
    <w:p w:rsidR="003F3B3C" w:rsidRDefault="0048342F">
      <w:pPr>
        <w:pStyle w:val="Heading2"/>
      </w:pPr>
      <w:bookmarkStart w:id="17" w:name="__RefHeading__21_768757415"/>
      <w:bookmarkStart w:id="18" w:name="_Toc386016581"/>
      <w:bookmarkEnd w:id="17"/>
      <w:r>
        <w:t>Installation und Verbindung des Systems</w:t>
      </w:r>
      <w:bookmarkEnd w:id="18"/>
    </w:p>
    <w:p w:rsidR="008A158A" w:rsidRPr="008C347D" w:rsidRDefault="008A158A" w:rsidP="008A158A">
      <w:r>
        <w:t>Die Master-Einheiten müssen in 19-Zoll-Racks eingebaut sein.</w:t>
      </w:r>
    </w:p>
    <w:p w:rsidR="008A158A" w:rsidRPr="008A158A" w:rsidRDefault="008A158A" w:rsidP="008A158A"/>
    <w:p w:rsidR="00137977" w:rsidRPr="00137977" w:rsidRDefault="0048342F" w:rsidP="00137977">
      <w:r>
        <w:t>Das System muss mit der Ringleitungsmethode installiert werden. Sämtliche Lautsprecher sind über eine Trennplatine, eine DC-Blocker-Platine oder einen DC-Blocker-Kondensator anzuschließen.</w:t>
      </w:r>
    </w:p>
    <w:p w:rsidR="00137977" w:rsidRDefault="00137977" w:rsidP="00137977"/>
    <w:p w:rsidR="00137977" w:rsidRPr="00B36917" w:rsidRDefault="00137977" w:rsidP="00137977">
      <w:pPr>
        <w:rPr>
          <w:spacing w:val="-2"/>
        </w:rPr>
      </w:pPr>
      <w:r w:rsidRPr="00B36917">
        <w:rPr>
          <w:spacing w:val="-2"/>
        </w:rPr>
        <w:t>Die für die Lautsprecher-Ringleitung verwendeten Kabel dürfen maximal eine Stärke von 2,5 mm</w:t>
      </w:r>
      <w:r w:rsidRPr="00B36917">
        <w:rPr>
          <w:spacing w:val="-2"/>
          <w:vertAlign w:val="superscript"/>
        </w:rPr>
        <w:t>2</w:t>
      </w:r>
      <w:r w:rsidRPr="00B36917">
        <w:rPr>
          <w:spacing w:val="-2"/>
        </w:rPr>
        <w:t xml:space="preserve"> aufweisen. Die maximale Kabellänge jeder Lautsprecher-Ringleitung darf 1000 m nicht überschreiten.</w:t>
      </w:r>
    </w:p>
    <w:p w:rsidR="00EA2FCF" w:rsidRDefault="00EA2FCF" w:rsidP="00137977"/>
    <w:p w:rsidR="00137977" w:rsidRPr="00137977" w:rsidRDefault="00137977" w:rsidP="00137977">
      <w:r>
        <w:t>Die maximale Gesamtkabelkapazität jeder Ringleitung beträgt 600 </w:t>
      </w:r>
      <w:proofErr w:type="spellStart"/>
      <w:r>
        <w:t>nF</w:t>
      </w:r>
      <w:proofErr w:type="spellEnd"/>
      <w:r>
        <w:t>, einschließlich der Kabelkapazität für die Abzweigung.</w:t>
      </w:r>
    </w:p>
    <w:p w:rsidR="00137977" w:rsidRPr="00137977" w:rsidRDefault="00137977" w:rsidP="00137977">
      <w:r>
        <w:t>Die maximale Gesamtkabelimpedanz in jeder Ringleitung beträgt 24 Ohm.</w:t>
      </w:r>
    </w:p>
    <w:p w:rsidR="00137977" w:rsidRDefault="00137977" w:rsidP="00137977"/>
    <w:p w:rsidR="00137977" w:rsidRPr="00137977" w:rsidRDefault="00137977" w:rsidP="00137977">
      <w:r>
        <w:t>Die maximale Kabellänge von einer Abzweigung zu einem Lautsprecher beträgt 50 m. Dieser Wert ist unabhängig von der</w:t>
      </w:r>
    </w:p>
    <w:p w:rsidR="00137977" w:rsidRDefault="00EA2FCF" w:rsidP="00137977">
      <w:r>
        <w:t>Länge der Ringleitung. Die maximal zulässige Last auf einer DC-Blocker-Platine beträgt 20 Watt.</w:t>
      </w:r>
    </w:p>
    <w:p w:rsidR="003F3B3C" w:rsidRPr="008C347D" w:rsidRDefault="008433C5">
      <w:pPr>
        <w:pStyle w:val="Heading2"/>
      </w:pPr>
      <w:bookmarkStart w:id="19" w:name="__RefHeading__23_768757415"/>
      <w:bookmarkStart w:id="20" w:name="_Toc386016582"/>
      <w:bookmarkEnd w:id="19"/>
      <w:r>
        <w:br w:type="column"/>
      </w:r>
      <w:r w:rsidR="0048342F">
        <w:lastRenderedPageBreak/>
        <w:t>Systembetrieb</w:t>
      </w:r>
      <w:bookmarkEnd w:id="20"/>
    </w:p>
    <w:p w:rsidR="00A71813" w:rsidRDefault="00A71813" w:rsidP="00A71813">
      <w:r>
        <w:t xml:space="preserve">Das Lautsprecher Linien-Isolator-System muss vollständig überwacht sein. Weder auf der Vorder- noch auf der Rückseite der Master-Einheit dürfen sich Bedienelemente befinden. </w:t>
      </w:r>
    </w:p>
    <w:p w:rsidR="00A71813" w:rsidRDefault="00A71813" w:rsidP="00A71813"/>
    <w:p w:rsidR="00A71813" w:rsidRDefault="00A71813" w:rsidP="00A71813">
      <w:r>
        <w:t>Die Benutzeroberfläche auf der Vorderseite der Master-Einheit besteht aus LEDs, die die folgenden Betriebszustände anzeigen:</w:t>
      </w:r>
    </w:p>
    <w:p w:rsidR="00A71813" w:rsidRDefault="00A71813" w:rsidP="00A727AA">
      <w:pPr>
        <w:pStyle w:val="ListParagraph"/>
        <w:numPr>
          <w:ilvl w:val="0"/>
          <w:numId w:val="14"/>
        </w:numPr>
      </w:pPr>
      <w:r>
        <w:t>Gehtest-Modus</w:t>
      </w:r>
    </w:p>
    <w:p w:rsidR="00A71813" w:rsidRDefault="00A71813" w:rsidP="00A727AA">
      <w:pPr>
        <w:pStyle w:val="ListParagraph"/>
        <w:numPr>
          <w:ilvl w:val="0"/>
          <w:numId w:val="14"/>
        </w:numPr>
      </w:pPr>
      <w:r>
        <w:t>Fehler</w:t>
      </w:r>
    </w:p>
    <w:p w:rsidR="00A71813" w:rsidRDefault="00E96594" w:rsidP="00A727AA">
      <w:pPr>
        <w:pStyle w:val="ListParagraph"/>
        <w:numPr>
          <w:ilvl w:val="0"/>
          <w:numId w:val="14"/>
        </w:numPr>
      </w:pPr>
      <w:r>
        <w:t>Ringleitung-Initialisierung</w:t>
      </w:r>
    </w:p>
    <w:p w:rsidR="00A71813" w:rsidRDefault="00A71813" w:rsidP="00A727AA">
      <w:pPr>
        <w:pStyle w:val="ListParagraph"/>
        <w:numPr>
          <w:ilvl w:val="0"/>
          <w:numId w:val="14"/>
        </w:numPr>
      </w:pPr>
      <w:r>
        <w:t>Ringleitung OK</w:t>
      </w:r>
    </w:p>
    <w:p w:rsidR="00A71813" w:rsidRDefault="00A71813" w:rsidP="00A71813"/>
    <w:p w:rsidR="00B34A59" w:rsidRDefault="00A71813" w:rsidP="00A71813">
      <w:r>
        <w:t>Der Zustand der Netzstrom- und Notstromversorgung</w:t>
      </w:r>
      <w:r>
        <w:rPr>
          <w:rFonts w:ascii="MS Mincho" w:hAnsi="MS Mincho" w:cs="MS Mincho"/>
        </w:rPr>
        <w:t xml:space="preserve"> </w:t>
      </w:r>
      <w:r>
        <w:t xml:space="preserve">ist ebenfalls an der Master-Einheit anzuzeigen. </w:t>
      </w:r>
    </w:p>
    <w:p w:rsidR="00B34A59" w:rsidRDefault="00B34A59" w:rsidP="00A71813"/>
    <w:p w:rsidR="00B34A59" w:rsidRDefault="001E7AA4" w:rsidP="00A71813">
      <w:r>
        <w:t>Master-Einheit, Trennplatinen und DC-Blocker-Platinen müssen bis zu einer maximalen Betriebstemperatur von 55 °C funktionsfähig sein.</w:t>
      </w:r>
    </w:p>
    <w:p w:rsidR="00B34A59" w:rsidRDefault="00B34A59" w:rsidP="00A71813"/>
    <w:p w:rsidR="0089458B" w:rsidRDefault="008C5967" w:rsidP="00A71813">
      <w:r>
        <w:t>Die Haupt-Lautsprecher-Ringleitung ist vom System nach Fehlerzuständen zu durchsuchen.</w:t>
      </w:r>
    </w:p>
    <w:p w:rsidR="003F3B3C" w:rsidRPr="008C347D" w:rsidRDefault="0048342F">
      <w:pPr>
        <w:pStyle w:val="Heading2"/>
      </w:pPr>
      <w:bookmarkStart w:id="21" w:name="__RefHeading__25_768757415"/>
      <w:bookmarkStart w:id="22" w:name="__RefHeading__27_768757415"/>
      <w:bookmarkStart w:id="23" w:name="_Toc386016583"/>
      <w:bookmarkEnd w:id="21"/>
      <w:bookmarkEnd w:id="22"/>
      <w:r>
        <w:t>Systemwartung</w:t>
      </w:r>
      <w:bookmarkEnd w:id="23"/>
    </w:p>
    <w:p w:rsidR="003F3B3C" w:rsidRPr="008C347D" w:rsidRDefault="0048342F">
      <w:r>
        <w:t>Die Auslegung des Systems muss schnelle und wirkungsvolle Fehlersuche und -behebung durch Personal vor Ort ermöglichen. Dies muss durch einen integrierten Gehtest-Modus unterstützt werden. Ersatzteile und entsprechende Anweisungen sind bereitzustellen.</w:t>
      </w:r>
    </w:p>
    <w:p w:rsidR="003F3B3C" w:rsidRPr="008C347D" w:rsidRDefault="003F3B3C"/>
    <w:p w:rsidR="003F3B3C" w:rsidRDefault="00814F19" w:rsidP="00A727AA">
      <w:pPr>
        <w:pStyle w:val="Heading1"/>
        <w:pageBreakBefore/>
      </w:pPr>
      <w:bookmarkStart w:id="24" w:name="_Toc386016584"/>
      <w:r>
        <w:lastRenderedPageBreak/>
        <w:t>Technische Daten</w:t>
      </w:r>
      <w:bookmarkEnd w:id="24"/>
    </w:p>
    <w:p w:rsidR="00BF02A9" w:rsidRDefault="00BF02A9" w:rsidP="00BF02A9">
      <w:pPr>
        <w:autoSpaceDE w:val="0"/>
      </w:pPr>
      <w:r>
        <w:t>Für dieses Gerät gelten die folgenden technischen Spezifikationen:</w:t>
      </w:r>
    </w:p>
    <w:p w:rsidR="00BF02A9" w:rsidRDefault="000D3780" w:rsidP="00A1466A">
      <w:pPr>
        <w:pStyle w:val="Heading2"/>
      </w:pPr>
      <w:bookmarkStart w:id="25" w:name="_Toc386016585"/>
      <w:r>
        <w:t>Master-Einheit</w:t>
      </w:r>
      <w:bookmarkEnd w:id="25"/>
    </w:p>
    <w:p w:rsidR="004A6BB8" w:rsidRPr="004A6BB8" w:rsidRDefault="004A6BB8" w:rsidP="004A6BB8"/>
    <w:p w:rsidR="00A1466A" w:rsidRDefault="00A1466A" w:rsidP="00A1466A">
      <w:pPr>
        <w:rPr>
          <w:rFonts w:eastAsia="Arial Unicode MS"/>
          <w:b/>
          <w:bCs/>
          <w:iCs/>
          <w:lang w:eastAsia="en-US"/>
        </w:rPr>
      </w:pPr>
      <w:r>
        <w:rPr>
          <w:b/>
          <w:bCs/>
          <w:iCs/>
        </w:rPr>
        <w:t>Elektrische Daten</w:t>
      </w:r>
    </w:p>
    <w:p w:rsidR="004A6BB8" w:rsidRDefault="004A6BB8" w:rsidP="00A1466A">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275771" w:rsidRPr="00F631EB" w:rsidTr="003C225F">
        <w:tc>
          <w:tcPr>
            <w:tcW w:w="2154" w:type="dxa"/>
            <w:shd w:val="clear" w:color="auto" w:fill="auto"/>
            <w:tcMar>
              <w:left w:w="0" w:type="dxa"/>
              <w:right w:w="0" w:type="dxa"/>
            </w:tcMar>
          </w:tcPr>
          <w:p w:rsidR="00275771" w:rsidRPr="00A1466A" w:rsidRDefault="00275771" w:rsidP="00275771">
            <w:pPr>
              <w:spacing w:after="120"/>
              <w:rPr>
                <w:rFonts w:eastAsia="Arial Unicode MS"/>
                <w:b/>
                <w:bCs/>
                <w:iCs/>
                <w:lang w:eastAsia="en-US"/>
              </w:rPr>
            </w:pPr>
            <w:r>
              <w:rPr>
                <w:b/>
                <w:bCs/>
                <w:iCs/>
              </w:rPr>
              <w:t>Stromversorgung</w:t>
            </w:r>
          </w:p>
        </w:tc>
        <w:tc>
          <w:tcPr>
            <w:tcW w:w="2268" w:type="dxa"/>
            <w:shd w:val="pct10" w:color="auto" w:fill="auto"/>
            <w:tcMar>
              <w:left w:w="0" w:type="dxa"/>
              <w:right w:w="0" w:type="dxa"/>
            </w:tcMar>
          </w:tcPr>
          <w:p w:rsidR="00275771" w:rsidRPr="00F631EB" w:rsidRDefault="00275771" w:rsidP="00275771">
            <w:pPr>
              <w:spacing w:after="120"/>
              <w:rPr>
                <w:rFonts w:eastAsia="Arial Unicode MS"/>
                <w:b/>
                <w:bCs/>
                <w:iCs/>
                <w:lang w:eastAsia="en-US"/>
              </w:rPr>
            </w:pP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t>Spannung</w:t>
            </w:r>
          </w:p>
        </w:tc>
        <w:tc>
          <w:tcPr>
            <w:tcW w:w="2268" w:type="dxa"/>
            <w:shd w:val="pct10" w:color="auto" w:fill="auto"/>
            <w:tcMar>
              <w:left w:w="0" w:type="dxa"/>
              <w:right w:w="0" w:type="dxa"/>
            </w:tcMar>
          </w:tcPr>
          <w:p w:rsidR="00275771" w:rsidRPr="00F631EB" w:rsidRDefault="00275771" w:rsidP="00275771">
            <w:pPr>
              <w:spacing w:after="120"/>
              <w:rPr>
                <w:rFonts w:eastAsia="Arial Unicode MS"/>
                <w:lang w:eastAsia="en-US"/>
              </w:rPr>
            </w:pPr>
            <w:r>
              <w:t>115/230 VAC, ± 10 %, 50/60 Hz</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t>Sicherungswerte</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t>T 6,3 A, 250 V</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t>Einschaltstrom</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t>Zeit: &lt; 10 </w:t>
            </w:r>
            <w:proofErr w:type="spellStart"/>
            <w:r>
              <w:t>ms</w:t>
            </w:r>
            <w:proofErr w:type="spellEnd"/>
            <w:r>
              <w:t>; ≤ 30 A</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t>Max. Stromaufnahme</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t>150 W</w:t>
            </w:r>
          </w:p>
        </w:tc>
      </w:tr>
    </w:tbl>
    <w:p w:rsidR="00BF02A9" w:rsidRPr="00BF02A9" w:rsidRDefault="00BF02A9" w:rsidP="00BF02A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F631EB" w:rsidTr="003C225F">
        <w:tc>
          <w:tcPr>
            <w:tcW w:w="2154" w:type="dxa"/>
            <w:shd w:val="clear" w:color="auto" w:fill="auto"/>
            <w:tcMar>
              <w:left w:w="0" w:type="dxa"/>
              <w:right w:w="0" w:type="dxa"/>
            </w:tcMar>
          </w:tcPr>
          <w:p w:rsidR="00852259" w:rsidRPr="00B36917" w:rsidRDefault="00852259" w:rsidP="00BF02A9">
            <w:pPr>
              <w:spacing w:after="120"/>
              <w:rPr>
                <w:rFonts w:eastAsia="Arial Unicode MS"/>
                <w:b/>
                <w:spacing w:val="-4"/>
                <w:lang w:eastAsia="en-US"/>
              </w:rPr>
            </w:pPr>
            <w:r w:rsidRPr="00B36917">
              <w:rPr>
                <w:b/>
                <w:spacing w:val="-4"/>
              </w:rPr>
              <w:t>Batteriestromversorgung</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t>Spannung</w:t>
            </w:r>
          </w:p>
        </w:tc>
        <w:tc>
          <w:tcPr>
            <w:tcW w:w="2268" w:type="dxa"/>
            <w:shd w:val="pct10" w:color="auto" w:fill="auto"/>
            <w:tcMar>
              <w:left w:w="0" w:type="dxa"/>
              <w:right w:w="0" w:type="dxa"/>
            </w:tcMar>
          </w:tcPr>
          <w:p w:rsidR="00852259" w:rsidRPr="00F631EB" w:rsidRDefault="007B64FF" w:rsidP="003C225F">
            <w:pPr>
              <w:spacing w:after="120"/>
              <w:rPr>
                <w:rFonts w:eastAsia="Arial Unicode MS"/>
                <w:lang w:eastAsia="en-US"/>
              </w:rPr>
            </w:pPr>
            <w:r>
              <w:t>18 bis 56 VDC nominell 24 oder 48 VDC</w:t>
            </w: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t>Erkennungsstufe für Backup-Störungen</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r>
              <w:t>21 ± 1 VDC</w:t>
            </w: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t>Max. Notstromspannung</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r>
              <w:t>4,5 A</w:t>
            </w:r>
          </w:p>
        </w:tc>
      </w:tr>
    </w:tbl>
    <w:p w:rsidR="00AA62E9" w:rsidRDefault="00AA62E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2167CC" w:rsidRPr="00F631EB" w:rsidTr="003C225F">
        <w:tc>
          <w:tcPr>
            <w:tcW w:w="2154" w:type="dxa"/>
            <w:shd w:val="clear" w:color="auto" w:fill="auto"/>
            <w:tcMar>
              <w:left w:w="0" w:type="dxa"/>
              <w:right w:w="0" w:type="dxa"/>
            </w:tcMar>
          </w:tcPr>
          <w:p w:rsidR="002167CC" w:rsidRPr="000D3780" w:rsidRDefault="002167CC" w:rsidP="002167CC">
            <w:pPr>
              <w:spacing w:after="120"/>
              <w:rPr>
                <w:rFonts w:eastAsia="Arial Unicode MS"/>
                <w:b/>
                <w:lang w:eastAsia="en-US"/>
              </w:rPr>
            </w:pPr>
            <w:r>
              <w:rPr>
                <w:b/>
              </w:rPr>
              <w:t>Hardware-Schnittstellen</w:t>
            </w:r>
          </w:p>
        </w:tc>
        <w:tc>
          <w:tcPr>
            <w:tcW w:w="2268" w:type="dxa"/>
            <w:shd w:val="pct10" w:color="auto" w:fill="auto"/>
            <w:tcMar>
              <w:left w:w="0" w:type="dxa"/>
              <w:right w:w="0" w:type="dxa"/>
            </w:tcMar>
          </w:tcPr>
          <w:p w:rsidR="002167CC" w:rsidRPr="00F631EB" w:rsidRDefault="002167CC" w:rsidP="002167CC">
            <w:pPr>
              <w:spacing w:after="120"/>
              <w:rPr>
                <w:rFonts w:eastAsia="Arial Unicode MS"/>
                <w:lang w:eastAsia="en-US"/>
              </w:rPr>
            </w:pP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t xml:space="preserve">100-V-Audio-E/A </w:t>
            </w:r>
            <w:r>
              <w:br/>
              <w:t>(Ringleitung 1‑6)</w:t>
            </w:r>
          </w:p>
        </w:tc>
        <w:tc>
          <w:tcPr>
            <w:tcW w:w="2268" w:type="dxa"/>
            <w:shd w:val="pct10" w:color="auto" w:fill="auto"/>
            <w:tcMar>
              <w:left w:w="0" w:type="dxa"/>
              <w:right w:w="0" w:type="dxa"/>
            </w:tcMar>
          </w:tcPr>
          <w:p w:rsidR="002167CC" w:rsidRPr="00F631EB" w:rsidRDefault="002167CC" w:rsidP="002167CC">
            <w:pPr>
              <w:spacing w:after="120"/>
              <w:rPr>
                <w:rFonts w:eastAsia="Arial Unicode MS"/>
                <w:lang w:eastAsia="en-US"/>
              </w:rPr>
            </w:pPr>
            <w:r>
              <w:t>Steckbarer Schraubanschluss</w:t>
            </w: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t>Fehlerausgang (Ringleitung 1‑6)</w:t>
            </w:r>
          </w:p>
        </w:tc>
        <w:tc>
          <w:tcPr>
            <w:tcW w:w="2268" w:type="dxa"/>
            <w:shd w:val="pct10" w:color="auto" w:fill="auto"/>
            <w:tcMar>
              <w:left w:w="0" w:type="dxa"/>
              <w:right w:w="0" w:type="dxa"/>
            </w:tcMar>
          </w:tcPr>
          <w:p w:rsidR="002167CC" w:rsidRPr="00F631EB" w:rsidRDefault="007B64FF" w:rsidP="002167CC">
            <w:pPr>
              <w:spacing w:after="120"/>
              <w:rPr>
                <w:rFonts w:eastAsia="Arial Unicode MS"/>
                <w:lang w:eastAsia="en-US"/>
              </w:rPr>
            </w:pPr>
            <w:r>
              <w:t>Potenzialfreie Kontakte 24 V, 1 A</w:t>
            </w: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t>Fehlerrelais (kein Relais für allgemeine Fehler)</w:t>
            </w:r>
          </w:p>
        </w:tc>
        <w:tc>
          <w:tcPr>
            <w:tcW w:w="2268" w:type="dxa"/>
            <w:shd w:val="pct10" w:color="auto" w:fill="auto"/>
            <w:tcMar>
              <w:left w:w="0" w:type="dxa"/>
              <w:right w:w="0" w:type="dxa"/>
            </w:tcMar>
          </w:tcPr>
          <w:p w:rsidR="002167CC" w:rsidRDefault="002167CC" w:rsidP="00A727AA">
            <w:pPr>
              <w:pStyle w:val="ListParagraph"/>
              <w:numPr>
                <w:ilvl w:val="0"/>
                <w:numId w:val="20"/>
              </w:numPr>
              <w:spacing w:after="120"/>
              <w:rPr>
                <w:rFonts w:eastAsia="Arial Unicode MS"/>
                <w:lang w:eastAsia="en-US"/>
              </w:rPr>
            </w:pPr>
            <w:r>
              <w:t>Status „OK“ ist normalerweise stromlos</w:t>
            </w:r>
          </w:p>
          <w:p w:rsidR="002167CC" w:rsidRPr="002167CC" w:rsidRDefault="002167CC" w:rsidP="00A727AA">
            <w:pPr>
              <w:pStyle w:val="ListParagraph"/>
              <w:numPr>
                <w:ilvl w:val="0"/>
                <w:numId w:val="20"/>
              </w:numPr>
              <w:spacing w:after="120"/>
              <w:rPr>
                <w:rFonts w:eastAsia="Arial Unicode MS"/>
                <w:lang w:eastAsia="en-US"/>
              </w:rPr>
            </w:pPr>
            <w:r>
              <w:t>NO ist offen</w:t>
            </w: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t>Relais für allgemeine Fehler</w:t>
            </w:r>
          </w:p>
        </w:tc>
        <w:tc>
          <w:tcPr>
            <w:tcW w:w="2268" w:type="dxa"/>
            <w:shd w:val="pct10" w:color="auto" w:fill="auto"/>
            <w:tcMar>
              <w:left w:w="0" w:type="dxa"/>
              <w:right w:w="0" w:type="dxa"/>
            </w:tcMar>
          </w:tcPr>
          <w:p w:rsidR="002167CC" w:rsidRDefault="002167CC" w:rsidP="00A727AA">
            <w:pPr>
              <w:pStyle w:val="ListParagraph"/>
              <w:numPr>
                <w:ilvl w:val="0"/>
                <w:numId w:val="20"/>
              </w:numPr>
              <w:spacing w:after="120"/>
              <w:rPr>
                <w:rFonts w:eastAsia="Arial Unicode MS"/>
                <w:lang w:eastAsia="en-US"/>
              </w:rPr>
            </w:pPr>
            <w:r>
              <w:t>Status „OK“ ist ausfallsicher, normalerweise unter Spannung</w:t>
            </w:r>
          </w:p>
          <w:p w:rsidR="002167CC" w:rsidRPr="002167CC" w:rsidRDefault="002167CC" w:rsidP="00A727AA">
            <w:pPr>
              <w:pStyle w:val="ListParagraph"/>
              <w:numPr>
                <w:ilvl w:val="0"/>
                <w:numId w:val="20"/>
              </w:numPr>
              <w:spacing w:after="120"/>
              <w:rPr>
                <w:rFonts w:eastAsia="Arial Unicode MS"/>
                <w:lang w:eastAsia="en-US"/>
              </w:rPr>
            </w:pPr>
            <w:r>
              <w:t>NC ist offen (ausfallsicher)</w:t>
            </w:r>
          </w:p>
        </w:tc>
      </w:tr>
    </w:tbl>
    <w:p w:rsidR="002167CC" w:rsidRDefault="002167CC"/>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F631EB" w:rsidTr="003C225F">
        <w:tc>
          <w:tcPr>
            <w:tcW w:w="2154" w:type="dxa"/>
            <w:shd w:val="clear" w:color="auto" w:fill="auto"/>
            <w:tcMar>
              <w:left w:w="0" w:type="dxa"/>
              <w:right w:w="0" w:type="dxa"/>
            </w:tcMar>
          </w:tcPr>
          <w:p w:rsidR="00852259" w:rsidRPr="000D3780" w:rsidRDefault="00852259" w:rsidP="00BF02A9">
            <w:pPr>
              <w:spacing w:after="120"/>
              <w:rPr>
                <w:rFonts w:eastAsia="Arial Unicode MS"/>
                <w:b/>
                <w:lang w:eastAsia="en-US"/>
              </w:rPr>
            </w:pPr>
            <w:r>
              <w:rPr>
                <w:b/>
              </w:rPr>
              <w:t>Leistungsmerkmale</w:t>
            </w:r>
          </w:p>
        </w:tc>
        <w:tc>
          <w:tcPr>
            <w:tcW w:w="2268" w:type="dxa"/>
            <w:shd w:val="pct10" w:color="auto" w:fill="auto"/>
            <w:tcMar>
              <w:left w:w="0" w:type="dxa"/>
              <w:right w:w="0" w:type="dxa"/>
            </w:tcMar>
          </w:tcPr>
          <w:p w:rsidR="00852259" w:rsidRPr="00F631EB" w:rsidRDefault="00852259" w:rsidP="00BF02A9">
            <w:pPr>
              <w:spacing w:after="120"/>
              <w:rPr>
                <w:rFonts w:eastAsia="Arial Unicode MS"/>
                <w:lang w:eastAsia="en-US"/>
              </w:rPr>
            </w:pP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t>Max. Anzahl Trennplatinen pro Ringschaltung</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t>50</w:t>
            </w: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t>Belastungskapazitätsstandard pro Ringschaltung</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t>500 W</w:t>
            </w: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t>Frequenzbereich</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t>50 Hz bis 20 kHz</w:t>
            </w:r>
          </w:p>
        </w:tc>
      </w:tr>
    </w:tbl>
    <w:p w:rsidR="00667208" w:rsidRDefault="00667208" w:rsidP="00167823">
      <w:pPr>
        <w:rPr>
          <w:rFonts w:eastAsia="Arial Unicode MS"/>
          <w:b/>
          <w:bCs/>
          <w:iCs/>
          <w:lang w:eastAsia="en-US"/>
        </w:rPr>
      </w:pPr>
    </w:p>
    <w:p w:rsidR="00667208" w:rsidRDefault="00667208" w:rsidP="00167823">
      <w:pPr>
        <w:rPr>
          <w:rFonts w:eastAsia="Arial Unicode MS"/>
          <w:b/>
          <w:bCs/>
          <w:iCs/>
          <w:lang w:eastAsia="en-US"/>
        </w:rPr>
      </w:pPr>
      <w:r>
        <w:rPr>
          <w:rFonts w:eastAsia="Arial Unicode MS"/>
          <w:b/>
          <w:bCs/>
          <w:iCs/>
          <w:lang w:eastAsia="en-US"/>
        </w:rPr>
        <w:br w:type="column"/>
      </w:r>
      <w:r>
        <w:rPr>
          <w:b/>
          <w:bCs/>
          <w:iCs/>
        </w:rPr>
        <w:lastRenderedPageBreak/>
        <w:t>Akku-Leistungsaufnahme 24 V</w:t>
      </w:r>
    </w:p>
    <w:p w:rsidR="006D5C90" w:rsidRDefault="006D5C90" w:rsidP="00167823">
      <w:pPr>
        <w:rPr>
          <w:rFonts w:eastAsia="Arial Unicode MS"/>
          <w:b/>
          <w:bCs/>
          <w:iCs/>
          <w:lang w:eastAsia="en-US"/>
        </w:rPr>
      </w:pPr>
    </w:p>
    <w:p w:rsidR="00667208" w:rsidRDefault="00667208" w:rsidP="00167823">
      <w:pPr>
        <w:rPr>
          <w:rFonts w:eastAsia="Arial Unicode MS"/>
          <w:b/>
          <w:bCs/>
          <w:iCs/>
          <w:lang w:eastAsia="en-US"/>
        </w:rPr>
      </w:pPr>
      <w:r w:rsidRPr="00667208">
        <w:rPr>
          <w:rFonts w:eastAsia="Arial Unicode MS"/>
          <w:b/>
          <w:bCs/>
          <w:iCs/>
          <w:noProof/>
          <w:lang w:val="en-US" w:eastAsia="zh-TW"/>
        </w:rPr>
        <w:drawing>
          <wp:inline distT="0" distB="0" distL="0" distR="0">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Default="00667208" w:rsidP="00167823">
      <w:pPr>
        <w:rPr>
          <w:rFonts w:eastAsia="Arial Unicode MS"/>
          <w:b/>
          <w:bCs/>
          <w:iCs/>
          <w:lang w:eastAsia="en-US"/>
        </w:rPr>
      </w:pPr>
    </w:p>
    <w:p w:rsidR="00667208" w:rsidRDefault="00667208" w:rsidP="00167823">
      <w:pPr>
        <w:rPr>
          <w:rFonts w:eastAsia="Arial Unicode MS"/>
          <w:b/>
          <w:bCs/>
          <w:iCs/>
          <w:lang w:eastAsia="en-US"/>
        </w:rPr>
      </w:pPr>
      <w:r>
        <w:rPr>
          <w:b/>
          <w:bCs/>
          <w:iCs/>
        </w:rPr>
        <w:t>Akku-Leistungsaufnahme 48 V</w:t>
      </w:r>
    </w:p>
    <w:p w:rsidR="006D5C90" w:rsidRDefault="006D5C90" w:rsidP="00167823">
      <w:pPr>
        <w:rPr>
          <w:rFonts w:eastAsia="Arial Unicode MS"/>
          <w:b/>
          <w:bCs/>
          <w:iCs/>
          <w:lang w:eastAsia="en-US"/>
        </w:rPr>
      </w:pPr>
    </w:p>
    <w:p w:rsidR="006D5C90" w:rsidRDefault="00256493" w:rsidP="00167823">
      <w:pPr>
        <w:rPr>
          <w:rFonts w:eastAsia="Arial Unicode MS"/>
          <w:b/>
          <w:bCs/>
          <w:iCs/>
          <w:lang w:eastAsia="en-US"/>
        </w:rPr>
      </w:pPr>
      <w:r>
        <w:rPr>
          <w:noProof/>
          <w:lang w:val="en-US" w:eastAsia="zh-TW"/>
        </w:rPr>
        <w:drawing>
          <wp:inline distT="0" distB="0" distL="0" distR="0">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Default="00667208" w:rsidP="00167823">
      <w:pPr>
        <w:rPr>
          <w:rFonts w:eastAsia="Arial Unicode MS"/>
          <w:b/>
          <w:bCs/>
          <w:iCs/>
          <w:lang w:eastAsia="en-US"/>
        </w:rPr>
      </w:pPr>
    </w:p>
    <w:p w:rsidR="00167823" w:rsidRDefault="00167823" w:rsidP="00167823">
      <w:pPr>
        <w:rPr>
          <w:rFonts w:eastAsia="Arial Unicode MS"/>
          <w:b/>
          <w:bCs/>
          <w:iCs/>
          <w:lang w:eastAsia="en-US"/>
        </w:rPr>
      </w:pPr>
      <w:r>
        <w:rPr>
          <w:b/>
          <w:bCs/>
          <w:iCs/>
        </w:rPr>
        <w:t>Mechanische Daten</w:t>
      </w:r>
    </w:p>
    <w:p w:rsidR="004A6BB8" w:rsidRDefault="004A6BB8" w:rsidP="00167823">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C05988" w:rsidTr="003C225F">
        <w:tc>
          <w:tcPr>
            <w:tcW w:w="2154" w:type="dxa"/>
            <w:shd w:val="clear" w:color="auto" w:fill="auto"/>
            <w:tcMar>
              <w:left w:w="0" w:type="dxa"/>
              <w:right w:w="0" w:type="dxa"/>
            </w:tcMar>
          </w:tcPr>
          <w:p w:rsidR="004A6BB8" w:rsidRPr="00B36917" w:rsidRDefault="004A6BB8" w:rsidP="004A6BB8">
            <w:pPr>
              <w:spacing w:after="120"/>
              <w:rPr>
                <w:rFonts w:eastAsia="Arial Unicode MS"/>
                <w:b/>
                <w:spacing w:val="-2"/>
                <w:lang w:val="fr-FR" w:eastAsia="en-US"/>
              </w:rPr>
            </w:pPr>
            <w:r w:rsidRPr="00B36917">
              <w:rPr>
                <w:b/>
                <w:spacing w:val="-2"/>
              </w:rPr>
              <w:t xml:space="preserve">Abmessungen </w:t>
            </w:r>
            <w:r w:rsidR="000F4F8F">
              <w:rPr>
                <w:b/>
                <w:spacing w:val="-2"/>
              </w:rPr>
              <w:br/>
            </w:r>
            <w:bookmarkStart w:id="26" w:name="_GoBack"/>
            <w:bookmarkEnd w:id="26"/>
            <w:r w:rsidRPr="00B36917">
              <w:rPr>
                <w:b/>
                <w:spacing w:val="-2"/>
              </w:rPr>
              <w:t>(H x B x T)</w:t>
            </w:r>
          </w:p>
        </w:tc>
        <w:tc>
          <w:tcPr>
            <w:tcW w:w="2268" w:type="dxa"/>
            <w:shd w:val="pct10" w:color="auto" w:fill="auto"/>
            <w:tcMar>
              <w:left w:w="0" w:type="dxa"/>
              <w:right w:w="0" w:type="dxa"/>
            </w:tcMar>
          </w:tcPr>
          <w:p w:rsidR="004A6BB8" w:rsidRPr="00C05988" w:rsidRDefault="004A6BB8" w:rsidP="004A6BB8">
            <w:pPr>
              <w:spacing w:after="120"/>
              <w:rPr>
                <w:rFonts w:eastAsia="Arial Unicode MS"/>
                <w:lang w:val="fr-FR" w:eastAsia="en-US"/>
              </w:rPr>
            </w:pP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 xml:space="preserve">Einbau in 19-Zoll-Racksystem </w:t>
            </w:r>
            <w:r w:rsidR="0058690F">
              <w:br/>
            </w:r>
            <w:r>
              <w:t>(mit Halterungen)</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88 x 483 x 400 mm</w:t>
            </w:r>
            <w:r>
              <w:br/>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   Vor den Halterungen</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40 mm</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   Hinter den Halterungen</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360 mm</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Gewicht</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15,9 kg</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Montage</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19-Zoll-Gehäuse</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Farbe</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Anthrazit mit Silber</w:t>
            </w:r>
          </w:p>
        </w:tc>
      </w:tr>
    </w:tbl>
    <w:p w:rsidR="00030544" w:rsidRDefault="00030544" w:rsidP="008C5967"/>
    <w:p w:rsidR="00030544" w:rsidRPr="004A6BB8" w:rsidRDefault="004A6BB8" w:rsidP="008C5967">
      <w:pPr>
        <w:rPr>
          <w:rFonts w:eastAsia="Arial Unicode MS"/>
          <w:b/>
          <w:bCs/>
          <w:iCs/>
          <w:lang w:eastAsia="en-US"/>
        </w:rPr>
      </w:pPr>
      <w:r>
        <w:rPr>
          <w:b/>
          <w:bCs/>
          <w:iCs/>
        </w:rPr>
        <w:t>Umgebungsbedingungen</w:t>
      </w:r>
    </w:p>
    <w:p w:rsidR="00030544" w:rsidRDefault="00030544"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Betriebstemperatur</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-5 °C bis +55 °C</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Lagertemperatur</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-20 °C bis +70 °C</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Relative Luftfeuchtigkeit</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15 % bis 90 %</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Luftdruck</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600 bis 1100 </w:t>
            </w:r>
            <w:proofErr w:type="spellStart"/>
            <w:r>
              <w:t>hPa</w:t>
            </w:r>
            <w:proofErr w:type="spellEnd"/>
          </w:p>
        </w:tc>
      </w:tr>
    </w:tbl>
    <w:p w:rsidR="00030544" w:rsidRDefault="004A6BB8" w:rsidP="00B36917">
      <w:pPr>
        <w:pStyle w:val="Heading2"/>
        <w:pageBreakBefore/>
        <w:ind w:left="504" w:hanging="504"/>
      </w:pPr>
      <w:bookmarkStart w:id="27" w:name="_Toc386016586"/>
      <w:r>
        <w:lastRenderedPageBreak/>
        <w:t>Trennplatine</w:t>
      </w:r>
      <w:bookmarkEnd w:id="27"/>
    </w:p>
    <w:p w:rsidR="004A6BB8" w:rsidRDefault="004A6BB8" w:rsidP="008C5967"/>
    <w:p w:rsidR="004A6BB8" w:rsidRDefault="004A6BB8" w:rsidP="004A6BB8">
      <w:pPr>
        <w:rPr>
          <w:rFonts w:eastAsia="Arial Unicode MS"/>
          <w:b/>
          <w:bCs/>
          <w:iCs/>
          <w:lang w:eastAsia="en-US"/>
        </w:rPr>
      </w:pPr>
      <w:r>
        <w:rPr>
          <w:b/>
          <w:bCs/>
          <w:iCs/>
        </w:rPr>
        <w:t>Elektrische Daten</w:t>
      </w:r>
    </w:p>
    <w:p w:rsidR="004A6BB8"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Lautsprecher-Ringleitungsanschluss</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120 VAC Audio, max. 5 A</w:t>
            </w:r>
          </w:p>
        </w:tc>
      </w:tr>
      <w:tr w:rsidR="004A6BB8" w:rsidRPr="00F631EB" w:rsidTr="003C225F">
        <w:tc>
          <w:tcPr>
            <w:tcW w:w="2154" w:type="dxa"/>
            <w:shd w:val="clear" w:color="auto" w:fill="auto"/>
            <w:tcMar>
              <w:left w:w="0" w:type="dxa"/>
              <w:right w:w="0" w:type="dxa"/>
            </w:tcMar>
          </w:tcPr>
          <w:p w:rsidR="004A6BB8" w:rsidRPr="0058690F" w:rsidRDefault="004A6BB8" w:rsidP="004A6BB8">
            <w:pPr>
              <w:spacing w:after="120"/>
              <w:rPr>
                <w:rFonts w:eastAsia="Arial Unicode MS"/>
                <w:spacing w:val="-4"/>
                <w:lang w:eastAsia="en-US"/>
              </w:rPr>
            </w:pPr>
            <w:r w:rsidRPr="0058690F">
              <w:rPr>
                <w:spacing w:val="-4"/>
              </w:rPr>
              <w:t>Max. Lautsprecherleistung durch Ringleitung</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500 W</w:t>
            </w:r>
          </w:p>
        </w:tc>
      </w:tr>
      <w:tr w:rsidR="004A6BB8" w:rsidRPr="00F631EB" w:rsidTr="003C225F">
        <w:tc>
          <w:tcPr>
            <w:tcW w:w="2154" w:type="dxa"/>
            <w:shd w:val="clear" w:color="auto" w:fill="auto"/>
            <w:tcMar>
              <w:left w:w="0" w:type="dxa"/>
              <w:right w:w="0" w:type="dxa"/>
            </w:tcMar>
          </w:tcPr>
          <w:p w:rsidR="004A6BB8" w:rsidRPr="004A6BB8" w:rsidRDefault="006442CA" w:rsidP="004A6BB8">
            <w:pPr>
              <w:spacing w:after="120"/>
              <w:rPr>
                <w:rFonts w:eastAsia="Arial Unicode MS"/>
                <w:lang w:eastAsia="en-US"/>
              </w:rPr>
            </w:pPr>
            <w:r>
              <w:t>Maximale Abzweigungsleistung</w:t>
            </w:r>
            <w:r w:rsidR="004A6BB8" w:rsidRPr="004A6BB8">
              <w:rPr>
                <w:rFonts w:eastAsia="Arial Unicode MS"/>
                <w:lang w:eastAsia="en-US"/>
              </w:rPr>
              <w:noBreakHyphen/>
              <w:t>off</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100 W</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Test-/Fehler-LED</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Gelb</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Testtaste</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Vorübergehend</w:t>
            </w:r>
          </w:p>
        </w:tc>
      </w:tr>
    </w:tbl>
    <w:p w:rsidR="004A6BB8" w:rsidRDefault="004A6BB8" w:rsidP="008C5967"/>
    <w:p w:rsidR="004A6BB8" w:rsidRDefault="004A6BB8" w:rsidP="004A6BB8">
      <w:pPr>
        <w:rPr>
          <w:rFonts w:eastAsia="Arial Unicode MS"/>
          <w:b/>
          <w:bCs/>
          <w:iCs/>
          <w:lang w:eastAsia="en-US"/>
        </w:rPr>
      </w:pPr>
      <w:r>
        <w:rPr>
          <w:b/>
          <w:bCs/>
          <w:iCs/>
        </w:rPr>
        <w:t>Mechanische Daten</w:t>
      </w:r>
    </w:p>
    <w:p w:rsidR="004A6BB8"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F631EB" w:rsidTr="003C225F">
        <w:tc>
          <w:tcPr>
            <w:tcW w:w="2154" w:type="dxa"/>
            <w:shd w:val="clear" w:color="auto" w:fill="auto"/>
            <w:tcMar>
              <w:left w:w="0" w:type="dxa"/>
              <w:right w:w="0" w:type="dxa"/>
            </w:tcMar>
          </w:tcPr>
          <w:p w:rsidR="0046262D" w:rsidRPr="00C05988" w:rsidRDefault="0046262D" w:rsidP="0046262D">
            <w:pPr>
              <w:spacing w:after="120"/>
              <w:rPr>
                <w:rFonts w:eastAsia="Arial Unicode MS"/>
                <w:lang w:val="fr-FR" w:eastAsia="en-US"/>
              </w:rPr>
            </w:pPr>
            <w:r>
              <w:t xml:space="preserve">Abmessungen </w:t>
            </w:r>
            <w:r w:rsidR="0058690F">
              <w:br/>
            </w:r>
            <w:r>
              <w:t>(H x B x T)</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78 x 60 x 32 mm</w:t>
            </w:r>
          </w:p>
          <w:p w:rsidR="0046262D" w:rsidRPr="0046262D" w:rsidRDefault="0046262D" w:rsidP="0046262D">
            <w:pPr>
              <w:spacing w:after="120"/>
              <w:rPr>
                <w:rFonts w:eastAsia="Arial Unicode MS"/>
                <w:lang w:eastAsia="en-US"/>
              </w:rPr>
            </w:pPr>
            <w:r w:rsidRPr="0046262D">
              <w:rPr>
                <w:rFonts w:eastAsia="Arial Unicode MS"/>
                <w:lang w:eastAsia="en-US"/>
              </w:rPr>
              <w:t>(3.0 x 2.3 x 0.6 in)</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Gehäuse</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150 x 150 x 75 mm</w:t>
            </w:r>
          </w:p>
          <w:p w:rsidR="0046262D" w:rsidRPr="0046262D" w:rsidRDefault="0046262D" w:rsidP="0046262D">
            <w:pPr>
              <w:spacing w:after="120"/>
              <w:rPr>
                <w:rFonts w:eastAsia="Arial Unicode MS"/>
                <w:lang w:eastAsia="en-US"/>
              </w:rPr>
            </w:pPr>
            <w:r w:rsidRPr="0046262D">
              <w:rPr>
                <w:rFonts w:eastAsia="Arial Unicode MS"/>
                <w:lang w:eastAsia="en-US"/>
              </w:rPr>
              <w:t>(5.9 x 5.9 x 2.9 in)</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Befestigungsoptionen</w:t>
            </w:r>
          </w:p>
        </w:tc>
        <w:tc>
          <w:tcPr>
            <w:tcW w:w="2268" w:type="dxa"/>
            <w:shd w:val="pct10" w:color="auto" w:fill="auto"/>
            <w:tcMar>
              <w:left w:w="0" w:type="dxa"/>
              <w:right w:w="0" w:type="dxa"/>
            </w:tcMar>
          </w:tcPr>
          <w:p w:rsidR="0046262D" w:rsidRPr="0058690F" w:rsidRDefault="0046262D" w:rsidP="00A727AA">
            <w:pPr>
              <w:pStyle w:val="ListParagraph"/>
              <w:numPr>
                <w:ilvl w:val="0"/>
                <w:numId w:val="21"/>
              </w:numPr>
              <w:spacing w:after="120"/>
              <w:rPr>
                <w:rFonts w:eastAsia="Arial Unicode MS"/>
                <w:spacing w:val="-2"/>
                <w:lang w:eastAsia="en-US"/>
              </w:rPr>
            </w:pPr>
            <w:r w:rsidRPr="0058690F">
              <w:rPr>
                <w:spacing w:val="-2"/>
              </w:rPr>
              <w:t>Fertig eingebaut in das mitgelieferte Gehäuse</w:t>
            </w:r>
          </w:p>
          <w:p w:rsidR="0046262D" w:rsidRPr="0058690F" w:rsidRDefault="0046262D" w:rsidP="00A727AA">
            <w:pPr>
              <w:pStyle w:val="ListParagraph"/>
              <w:numPr>
                <w:ilvl w:val="0"/>
                <w:numId w:val="21"/>
              </w:numPr>
              <w:spacing w:after="120"/>
              <w:rPr>
                <w:rFonts w:eastAsia="Arial Unicode MS"/>
                <w:spacing w:val="-2"/>
                <w:lang w:eastAsia="en-US"/>
              </w:rPr>
            </w:pPr>
            <w:r w:rsidRPr="0058690F">
              <w:rPr>
                <w:spacing w:val="-2"/>
              </w:rPr>
              <w:t>Im Lautsprecher montiert</w:t>
            </w:r>
          </w:p>
          <w:p w:rsidR="0046262D" w:rsidRPr="0046262D" w:rsidRDefault="007B64FF" w:rsidP="00A727AA">
            <w:pPr>
              <w:pStyle w:val="ListParagraph"/>
              <w:numPr>
                <w:ilvl w:val="0"/>
                <w:numId w:val="21"/>
              </w:numPr>
              <w:spacing w:after="120"/>
              <w:rPr>
                <w:rFonts w:eastAsia="Arial Unicode MS"/>
                <w:lang w:eastAsia="en-US"/>
              </w:rPr>
            </w:pPr>
            <w:r w:rsidRPr="0058690F">
              <w:rPr>
                <w:spacing w:val="-2"/>
              </w:rPr>
              <w:t>In ein IP</w:t>
            </w:r>
            <w:r w:rsidRPr="0058690F">
              <w:rPr>
                <w:rFonts w:eastAsia="Arial Unicode MS"/>
                <w:spacing w:val="-2"/>
                <w:lang w:eastAsia="en-US"/>
              </w:rPr>
              <w:noBreakHyphen/>
            </w:r>
            <w:r w:rsidRPr="0058690F">
              <w:rPr>
                <w:spacing w:val="-2"/>
              </w:rPr>
              <w:t>65-Gehäuse eingebaut (optionale LBB 4446/00 Befestigungshalterung wird benötigt)</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Gewicht</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Ca. 180 g</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Farbe</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Rot</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Feuerresistente Eigenschaften</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UL60065</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Eintrittsschutz</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IP30</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Ausgestanzte Löcher für Kabel</w:t>
            </w:r>
          </w:p>
        </w:tc>
        <w:tc>
          <w:tcPr>
            <w:tcW w:w="2268" w:type="dxa"/>
            <w:shd w:val="pct10" w:color="auto" w:fill="auto"/>
            <w:tcMar>
              <w:left w:w="0" w:type="dxa"/>
              <w:right w:w="0" w:type="dxa"/>
            </w:tcMar>
          </w:tcPr>
          <w:p w:rsidR="0046262D" w:rsidRPr="0046262D" w:rsidRDefault="0046262D" w:rsidP="00A727AA">
            <w:pPr>
              <w:pStyle w:val="ListParagraph"/>
              <w:numPr>
                <w:ilvl w:val="0"/>
                <w:numId w:val="22"/>
              </w:numPr>
              <w:spacing w:after="120"/>
              <w:rPr>
                <w:rFonts w:eastAsia="Arial Unicode MS"/>
                <w:lang w:eastAsia="en-US"/>
              </w:rPr>
            </w:pPr>
            <w:r>
              <w:t xml:space="preserve">3 Löcher für </w:t>
            </w:r>
            <w:r w:rsidR="0058690F">
              <w:br/>
            </w:r>
            <w:r>
              <w:t>6-mm-Kabel</w:t>
            </w:r>
          </w:p>
          <w:p w:rsidR="0046262D" w:rsidRPr="0046262D" w:rsidRDefault="0046262D" w:rsidP="00A727AA">
            <w:pPr>
              <w:pStyle w:val="ListParagraph"/>
              <w:numPr>
                <w:ilvl w:val="0"/>
                <w:numId w:val="22"/>
              </w:numPr>
              <w:spacing w:after="120"/>
              <w:rPr>
                <w:rFonts w:eastAsia="Arial Unicode MS"/>
                <w:lang w:eastAsia="en-US"/>
              </w:rPr>
            </w:pPr>
            <w:r>
              <w:t xml:space="preserve">3 Löcher für </w:t>
            </w:r>
            <w:r w:rsidR="0058690F">
              <w:br/>
            </w:r>
            <w:r>
              <w:t>9-mm-Kabel</w:t>
            </w:r>
          </w:p>
        </w:tc>
      </w:tr>
    </w:tbl>
    <w:p w:rsidR="004A6BB8" w:rsidRDefault="004A6BB8" w:rsidP="008C5967"/>
    <w:p w:rsidR="0046262D" w:rsidRPr="004A6BB8" w:rsidRDefault="0046262D" w:rsidP="0046262D">
      <w:pPr>
        <w:rPr>
          <w:rFonts w:eastAsia="Arial Unicode MS"/>
          <w:b/>
          <w:bCs/>
          <w:iCs/>
          <w:lang w:eastAsia="en-US"/>
        </w:rPr>
      </w:pPr>
      <w:r>
        <w:rPr>
          <w:b/>
          <w:bCs/>
          <w:iCs/>
        </w:rPr>
        <w:t>Umgebungsbedingungen</w:t>
      </w:r>
    </w:p>
    <w:p w:rsidR="0046262D"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Betriebstemperatur</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-5 °C bis +55 °C</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Lagertemperatur</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-20 °C bis +70 °C</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Relative Luftfeuchtigkeit</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15 % bis 90 %</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Luftdruck</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600 bis 1100 </w:t>
            </w:r>
            <w:proofErr w:type="spellStart"/>
            <w:r>
              <w:t>hPa</w:t>
            </w:r>
            <w:proofErr w:type="spellEnd"/>
          </w:p>
        </w:tc>
      </w:tr>
    </w:tbl>
    <w:p w:rsidR="00255D7C" w:rsidRPr="00255D7C" w:rsidRDefault="00255D7C" w:rsidP="00255D7C">
      <w:pPr>
        <w:pStyle w:val="Heading2"/>
        <w:numPr>
          <w:ilvl w:val="0"/>
          <w:numId w:val="0"/>
        </w:numPr>
        <w:ind w:left="510"/>
        <w:rPr>
          <w:sz w:val="2"/>
          <w:szCs w:val="2"/>
        </w:rPr>
      </w:pPr>
    </w:p>
    <w:p w:rsidR="0046262D" w:rsidRDefault="0046262D" w:rsidP="000A0E2E">
      <w:pPr>
        <w:pStyle w:val="Heading2"/>
        <w:spacing w:before="300"/>
        <w:ind w:left="504" w:hanging="504"/>
      </w:pPr>
      <w:bookmarkStart w:id="28" w:name="_Toc386016587"/>
      <w:r>
        <w:t>Endwiderstand</w:t>
      </w:r>
      <w:bookmarkEnd w:id="28"/>
    </w:p>
    <w:p w:rsidR="0046262D" w:rsidRPr="0046262D" w:rsidRDefault="0046262D" w:rsidP="0046262D"/>
    <w:p w:rsidR="0046262D" w:rsidRPr="0046262D" w:rsidRDefault="0046262D" w:rsidP="0046262D">
      <w:pPr>
        <w:rPr>
          <w:rFonts w:eastAsia="Arial Unicode MS"/>
          <w:b/>
          <w:bCs/>
          <w:iCs/>
          <w:lang w:eastAsia="en-US"/>
        </w:rPr>
      </w:pPr>
      <w:r>
        <w:rPr>
          <w:b/>
          <w:bCs/>
          <w:iCs/>
        </w:rPr>
        <w:t>Elektrische Daten</w:t>
      </w:r>
    </w:p>
    <w:p w:rsidR="0046262D"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Leitungsabschluss</w:t>
            </w:r>
            <w:r w:rsidR="0058690F">
              <w:t>-</w:t>
            </w:r>
            <w:r>
              <w:t>widerstand</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47 </w:t>
            </w:r>
            <w:proofErr w:type="spellStart"/>
            <w:r>
              <w:t>kOhm</w:t>
            </w:r>
            <w:proofErr w:type="spellEnd"/>
            <w:r>
              <w:t>, &gt; 0,5 W Widerstand</w:t>
            </w:r>
          </w:p>
        </w:tc>
      </w:tr>
    </w:tbl>
    <w:p w:rsidR="0046262D" w:rsidRDefault="00A727AA" w:rsidP="0046262D">
      <w:pPr>
        <w:pStyle w:val="Heading2"/>
      </w:pPr>
      <w:bookmarkStart w:id="29" w:name="_Toc386016588"/>
      <w:r>
        <w:t>DC-Blocker-Platine</w:t>
      </w:r>
      <w:bookmarkEnd w:id="29"/>
    </w:p>
    <w:p w:rsidR="0046262D" w:rsidRDefault="0046262D" w:rsidP="008C5967"/>
    <w:p w:rsidR="00A727AA" w:rsidRPr="0046262D" w:rsidRDefault="00A727AA" w:rsidP="00A727AA">
      <w:pPr>
        <w:rPr>
          <w:rFonts w:eastAsia="Arial Unicode MS"/>
          <w:b/>
          <w:bCs/>
          <w:iCs/>
          <w:lang w:eastAsia="en-US"/>
        </w:rPr>
      </w:pPr>
      <w:r>
        <w:rPr>
          <w:b/>
          <w:bCs/>
          <w:iCs/>
        </w:rPr>
        <w:t>Elektrische Daten</w:t>
      </w:r>
    </w:p>
    <w:p w:rsidR="0046262D" w:rsidRDefault="0046262D"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 xml:space="preserve">Lautsprecher-Ringleitungsanschluss </w:t>
            </w:r>
            <w:r w:rsidR="0058690F">
              <w:br/>
            </w:r>
            <w:r>
              <w:t>X1, X2</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120 VAC Audio, max. 5 A</w:t>
            </w:r>
          </w:p>
        </w:tc>
      </w:tr>
      <w:tr w:rsidR="00A727AA" w:rsidRPr="00F631EB" w:rsidTr="003C225F">
        <w:tc>
          <w:tcPr>
            <w:tcW w:w="2154" w:type="dxa"/>
            <w:shd w:val="clear" w:color="auto" w:fill="auto"/>
            <w:tcMar>
              <w:left w:w="0" w:type="dxa"/>
              <w:right w:w="0" w:type="dxa"/>
            </w:tcMar>
          </w:tcPr>
          <w:p w:rsidR="00A727AA" w:rsidRPr="0058690F" w:rsidRDefault="00A727AA" w:rsidP="00A727AA">
            <w:pPr>
              <w:spacing w:after="120"/>
              <w:rPr>
                <w:rFonts w:eastAsia="Arial Unicode MS"/>
                <w:spacing w:val="-4"/>
                <w:lang w:eastAsia="en-US"/>
              </w:rPr>
            </w:pPr>
            <w:r w:rsidRPr="0058690F">
              <w:rPr>
                <w:spacing w:val="-4"/>
              </w:rPr>
              <w:t>Max. Lautsprecherleistung durch Ringleitung</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500 W</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Abzweigungspunkte x3</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20 W auf einem Abzweigungspunkt</w:t>
            </w:r>
            <w:r w:rsidRPr="00A727AA">
              <w:rPr>
                <w:rFonts w:eastAsia="Arial Unicode MS"/>
                <w:lang w:eastAsia="en-US"/>
              </w:rPr>
              <w:noBreakHyphen/>
              <w:t>off</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Hochpassfilter</w:t>
            </w:r>
          </w:p>
        </w:tc>
        <w:tc>
          <w:tcPr>
            <w:tcW w:w="2268" w:type="dxa"/>
            <w:shd w:val="pct10" w:color="auto" w:fill="auto"/>
            <w:tcMar>
              <w:left w:w="0" w:type="dxa"/>
              <w:right w:w="0" w:type="dxa"/>
            </w:tcMar>
          </w:tcPr>
          <w:p w:rsidR="00A727AA" w:rsidRPr="00A727AA" w:rsidRDefault="00A727AA" w:rsidP="00A727AA">
            <w:pPr>
              <w:pStyle w:val="ListParagraph"/>
              <w:numPr>
                <w:ilvl w:val="0"/>
                <w:numId w:val="23"/>
              </w:numPr>
              <w:spacing w:after="120"/>
              <w:rPr>
                <w:rFonts w:eastAsia="Arial Unicode MS"/>
                <w:lang w:eastAsia="en-US"/>
              </w:rPr>
            </w:pPr>
            <w:r>
              <w:t>67 Hz bei 20 W Leistung</w:t>
            </w:r>
          </w:p>
          <w:p w:rsidR="00A727AA" w:rsidRPr="00A727AA" w:rsidRDefault="00A727AA" w:rsidP="00A727AA">
            <w:pPr>
              <w:pStyle w:val="ListParagraph"/>
              <w:numPr>
                <w:ilvl w:val="0"/>
                <w:numId w:val="23"/>
              </w:numPr>
              <w:spacing w:after="120"/>
              <w:rPr>
                <w:rFonts w:eastAsia="Arial Unicode MS"/>
                <w:lang w:eastAsia="en-US"/>
              </w:rPr>
            </w:pPr>
            <w:r>
              <w:t>34 Hz bei 10 W Leistung</w:t>
            </w:r>
          </w:p>
        </w:tc>
      </w:tr>
    </w:tbl>
    <w:p w:rsidR="0046262D" w:rsidRDefault="0046262D" w:rsidP="008C5967"/>
    <w:p w:rsidR="00A727AA" w:rsidRPr="0046262D" w:rsidRDefault="00A727AA" w:rsidP="00A727AA">
      <w:pPr>
        <w:rPr>
          <w:rFonts w:eastAsia="Arial Unicode MS"/>
          <w:b/>
          <w:bCs/>
          <w:iCs/>
          <w:lang w:eastAsia="en-US"/>
        </w:rPr>
      </w:pPr>
      <w:r>
        <w:rPr>
          <w:b/>
          <w:bCs/>
          <w:iCs/>
        </w:rPr>
        <w:t>Mechanische Daten</w:t>
      </w:r>
    </w:p>
    <w:p w:rsidR="00A727AA"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C05988" w:rsidRDefault="00A727AA" w:rsidP="00A727AA">
            <w:pPr>
              <w:spacing w:after="120"/>
              <w:rPr>
                <w:rFonts w:eastAsia="Arial Unicode MS"/>
                <w:lang w:val="fr-FR" w:eastAsia="en-US"/>
              </w:rPr>
            </w:pPr>
            <w:r>
              <w:t xml:space="preserve">Abmessungen </w:t>
            </w:r>
            <w:r w:rsidR="0058690F">
              <w:br/>
            </w:r>
            <w:r>
              <w:t>(H x B x T)</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60 x 45 x 30 mm</w:t>
            </w:r>
          </w:p>
          <w:p w:rsidR="00A727AA" w:rsidRPr="00A727AA" w:rsidRDefault="00A727AA" w:rsidP="00A727AA">
            <w:pPr>
              <w:spacing w:after="120"/>
              <w:rPr>
                <w:rFonts w:eastAsia="Arial Unicode MS"/>
                <w:lang w:eastAsia="en-US"/>
              </w:rPr>
            </w:pPr>
            <w:r w:rsidRPr="00A727AA">
              <w:rPr>
                <w:rFonts w:eastAsia="Arial Unicode MS"/>
                <w:lang w:eastAsia="en-US"/>
              </w:rPr>
              <w:t>(2.7 x 1.8 x 0.6 in)</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Montage</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 xml:space="preserve">Intern im Lautsprecher montiert (optionale LBB 4446/00 Befestigungshalterung </w:t>
            </w:r>
            <w:r w:rsidR="0058690F">
              <w:br/>
            </w:r>
            <w:r>
              <w:t>wird benötigt)</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Gewicht</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Ca. 16 g</w:t>
            </w:r>
          </w:p>
        </w:tc>
      </w:tr>
    </w:tbl>
    <w:p w:rsidR="0046262D" w:rsidRDefault="0046262D" w:rsidP="008C5967"/>
    <w:p w:rsidR="00A727AA" w:rsidRPr="0046262D" w:rsidRDefault="00A727AA" w:rsidP="00A727AA">
      <w:pPr>
        <w:rPr>
          <w:rFonts w:eastAsia="Arial Unicode MS"/>
          <w:b/>
          <w:bCs/>
          <w:iCs/>
          <w:lang w:eastAsia="en-US"/>
        </w:rPr>
      </w:pPr>
      <w:r>
        <w:rPr>
          <w:b/>
          <w:bCs/>
          <w:iCs/>
        </w:rPr>
        <w:t>Umgebungsbedingungen</w:t>
      </w:r>
    </w:p>
    <w:p w:rsidR="00A727AA"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Betriebstemperatur</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-5 °C bis +55 °C</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Lagertemperatur</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-20 °C bis +70 °C</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Relative Luftfeuchtigkeit</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15 % bis 90 %</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Luftdruck</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600 bis 1100 </w:t>
            </w:r>
            <w:proofErr w:type="spellStart"/>
            <w:r>
              <w:t>hPa</w:t>
            </w:r>
            <w:proofErr w:type="spellEnd"/>
          </w:p>
        </w:tc>
      </w:tr>
    </w:tbl>
    <w:p w:rsidR="0046262D" w:rsidRDefault="0046262D" w:rsidP="008C5967"/>
    <w:p w:rsidR="0046262D" w:rsidRPr="008C5967" w:rsidRDefault="0046262D" w:rsidP="008C5967"/>
    <w:p w:rsidR="0050509F" w:rsidRDefault="0050509F"/>
    <w:p w:rsidR="003F3B3C" w:rsidRPr="008C347D" w:rsidRDefault="003F3B3C" w:rsidP="0073732E">
      <w:pPr>
        <w:tabs>
          <w:tab w:val="left" w:pos="1998"/>
        </w:tabs>
        <w:autoSpaceDE w:val="0"/>
        <w:sectPr w:rsidR="003F3B3C" w:rsidRPr="008C347D"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8C347D" w:rsidRDefault="003F3B3C">
      <w:pPr>
        <w:pStyle w:val="BodyTextIndent"/>
        <w:rPr>
          <w:lang w:val="en-US"/>
        </w:rPr>
      </w:pPr>
    </w:p>
    <w:p w:rsidR="0058690F" w:rsidRDefault="0058690F">
      <w:pPr>
        <w:pStyle w:val="Titel"/>
        <w:snapToGrid w:val="0"/>
        <w:sectPr w:rsidR="0058690F" w:rsidSect="003F3B3C">
          <w:headerReference w:type="even" r:id="rId25"/>
          <w:headerReference w:type="default" r:id="rId26"/>
          <w:footerReference w:type="even" r:id="rId27"/>
          <w:footerReference w:type="default" r:id="rId28"/>
          <w:headerReference w:type="first" r:id="rId29"/>
          <w:footerReference w:type="first" r:id="rId30"/>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8C347D">
        <w:trPr>
          <w:trHeight w:val="1089"/>
        </w:trPr>
        <w:tc>
          <w:tcPr>
            <w:tcW w:w="9253" w:type="dxa"/>
            <w:shd w:val="clear" w:color="auto" w:fill="E6E6E6"/>
            <w:vAlign w:val="center"/>
          </w:tcPr>
          <w:p w:rsidR="003F3B3C" w:rsidRPr="008C347D" w:rsidRDefault="003F3B3C">
            <w:pPr>
              <w:pStyle w:val="Titel"/>
              <w:snapToGrid w:val="0"/>
            </w:pPr>
          </w:p>
        </w:tc>
      </w:tr>
      <w:tr w:rsidR="003F3B3C" w:rsidRPr="008C347D">
        <w:tblPrEx>
          <w:tblCellMar>
            <w:right w:w="0" w:type="dxa"/>
          </w:tblCellMar>
        </w:tblPrEx>
        <w:trPr>
          <w:trHeight w:val="4763"/>
        </w:trPr>
        <w:tc>
          <w:tcPr>
            <w:tcW w:w="9253" w:type="dxa"/>
            <w:shd w:val="clear" w:color="auto" w:fill="auto"/>
            <w:vAlign w:val="bottom"/>
          </w:tcPr>
          <w:p w:rsidR="003F3B3C" w:rsidRPr="008C347D" w:rsidRDefault="0048342F">
            <w:pPr>
              <w:rPr>
                <w:rFonts w:ascii="Arial" w:hAnsi="Arial" w:cs="Arial"/>
                <w:sz w:val="16"/>
              </w:rPr>
            </w:pPr>
            <w:r>
              <w:rPr>
                <w:rFonts w:ascii="Arial" w:hAnsi="Arial" w:cs="Arial"/>
                <w:sz w:val="16"/>
              </w:rPr>
              <w:t xml:space="preserve">Weitere Informationen erhalten Sie unter: </w:t>
            </w:r>
            <w:hyperlink r:id="rId31" w:history="1">
              <w:r>
                <w:rPr>
                  <w:rStyle w:val="Hyperlink"/>
                  <w:rFonts w:ascii="Arial" w:hAnsi="Arial"/>
                </w:rPr>
                <w:t>www.boschsecurity.com</w:t>
              </w:r>
            </w:hyperlink>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tc>
      </w:tr>
      <w:tr w:rsidR="003F3B3C" w:rsidRPr="008C347D">
        <w:tblPrEx>
          <w:tblCellMar>
            <w:top w:w="170" w:type="dxa"/>
            <w:right w:w="0" w:type="dxa"/>
          </w:tblCellMar>
        </w:tblPrEx>
        <w:trPr>
          <w:trHeight w:val="816"/>
        </w:trPr>
        <w:tc>
          <w:tcPr>
            <w:tcW w:w="9253" w:type="dxa"/>
            <w:shd w:val="clear" w:color="auto" w:fill="E6E6E6"/>
          </w:tcPr>
          <w:p w:rsidR="003F3B3C" w:rsidRPr="008C347D" w:rsidRDefault="00423BEA">
            <w:pPr>
              <w:rPr>
                <w:rFonts w:ascii="Arial" w:hAnsi="Arial" w:cs="Arial"/>
                <w:sz w:val="16"/>
              </w:rPr>
            </w:pPr>
            <w:r>
              <w:rPr>
                <w:rFonts w:ascii="Arial" w:hAnsi="Arial" w:cs="Arial"/>
                <w:sz w:val="16"/>
              </w:rPr>
              <w:t>© 2014 Bosch Security System BV</w:t>
            </w:r>
          </w:p>
          <w:p w:rsidR="003F3B3C" w:rsidRPr="008C347D" w:rsidRDefault="0048342F">
            <w:pPr>
              <w:rPr>
                <w:rFonts w:ascii="Arial" w:hAnsi="Arial" w:cs="Arial"/>
                <w:sz w:val="16"/>
              </w:rPr>
            </w:pPr>
            <w:r>
              <w:rPr>
                <w:rFonts w:ascii="Arial" w:hAnsi="Arial" w:cs="Arial"/>
                <w:sz w:val="16"/>
              </w:rPr>
              <w:t>Änderungen vorbehalten</w:t>
            </w:r>
          </w:p>
          <w:p w:rsidR="003F3B3C" w:rsidRPr="008C347D" w:rsidRDefault="00825CA9" w:rsidP="00724560">
            <w:r>
              <w:rPr>
                <w:rFonts w:ascii="Arial" w:hAnsi="Arial" w:cs="Arial"/>
                <w:sz w:val="16"/>
              </w:rPr>
              <w:t>03-2014 V1.1</w:t>
            </w:r>
          </w:p>
        </w:tc>
      </w:tr>
      <w:tr w:rsidR="003F3B3C" w:rsidRPr="008C347D">
        <w:tblPrEx>
          <w:tblCellMar>
            <w:left w:w="0" w:type="dxa"/>
            <w:right w:w="0" w:type="dxa"/>
          </w:tblCellMar>
        </w:tblPrEx>
        <w:trPr>
          <w:trHeight w:val="5851"/>
        </w:trPr>
        <w:tc>
          <w:tcPr>
            <w:tcW w:w="9253" w:type="dxa"/>
            <w:shd w:val="clear" w:color="auto" w:fill="E6E6E6"/>
          </w:tcPr>
          <w:p w:rsidR="003F3B3C" w:rsidRPr="008C347D" w:rsidRDefault="003F3B3C">
            <w:pPr>
              <w:pStyle w:val="Languages"/>
              <w:snapToGrid w:val="0"/>
            </w:pPr>
          </w:p>
        </w:tc>
      </w:tr>
    </w:tbl>
    <w:p w:rsidR="0048342F" w:rsidRPr="008C347D" w:rsidRDefault="00FC508C">
      <w:pPr>
        <w:pStyle w:val="BodyTextIndent"/>
        <w:ind w:left="0"/>
        <w:rPr>
          <w:lang w:val="en-US"/>
        </w:rPr>
      </w:pPr>
      <w:r w:rsidRPr="008C347D">
        <w:rPr>
          <w:noProof/>
          <w:lang w:val="en-US" w:eastAsia="zh-TW"/>
        </w:rPr>
        <w:drawing>
          <wp:anchor distT="0" distB="0" distL="114935" distR="114935" simplePos="0" relativeHeight="251660288" behindDoc="0" locked="0" layoutInCell="1" allowOverlap="1" wp14:anchorId="1916F095" wp14:editId="20183B94">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8C347D" w:rsidSect="0058690F">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FB1C71">
    <w:pPr>
      <w:pStyle w:val="Footer"/>
      <w:ind w:left="-272"/>
    </w:pP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ge">
                <wp:posOffset>10153015</wp:posOffset>
              </wp:positionV>
              <wp:extent cx="6400800" cy="0"/>
              <wp:effectExtent l="8255" t="8890" r="1079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rsidR="00495EEA">
      <w:t>Bosch Security Systems | 03-2014 | V1.1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 xml:space="preserve">Lautsprecher Linien-Isolator-System für Lautsprecher – </w:t>
          </w:r>
          <w:r w:rsidR="00BD4FF8">
            <w:rPr>
              <w:b/>
              <w:color w:val="FFFFFF"/>
            </w:rPr>
            <w:br/>
          </w:r>
          <w:r>
            <w:rPr>
              <w:b/>
              <w:color w:val="FFFFFF"/>
            </w:rPr>
            <w:t>Spezifikation für Architekten und Ingenieure</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de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0F4F8F">
            <w:rPr>
              <w:rStyle w:val="Headerpagenumber"/>
              <w:noProof/>
            </w:rPr>
            <w:t>7</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0E2E"/>
    <w:rsid w:val="000A543A"/>
    <w:rsid w:val="000C1DC2"/>
    <w:rsid w:val="000C31DD"/>
    <w:rsid w:val="000D3780"/>
    <w:rsid w:val="000D50E9"/>
    <w:rsid w:val="000F319B"/>
    <w:rsid w:val="000F4F8F"/>
    <w:rsid w:val="0012523F"/>
    <w:rsid w:val="00137977"/>
    <w:rsid w:val="001410F3"/>
    <w:rsid w:val="0015141C"/>
    <w:rsid w:val="001605F8"/>
    <w:rsid w:val="00160BCB"/>
    <w:rsid w:val="00167823"/>
    <w:rsid w:val="00174DF7"/>
    <w:rsid w:val="00185C6E"/>
    <w:rsid w:val="00193FCB"/>
    <w:rsid w:val="00195BF3"/>
    <w:rsid w:val="00196B34"/>
    <w:rsid w:val="001A7E7A"/>
    <w:rsid w:val="001B2232"/>
    <w:rsid w:val="001B7B2A"/>
    <w:rsid w:val="001C4723"/>
    <w:rsid w:val="001D1B33"/>
    <w:rsid w:val="001E5A10"/>
    <w:rsid w:val="001E7AA4"/>
    <w:rsid w:val="0020099F"/>
    <w:rsid w:val="00207D08"/>
    <w:rsid w:val="002167CC"/>
    <w:rsid w:val="002329BA"/>
    <w:rsid w:val="00245D8F"/>
    <w:rsid w:val="00255D7C"/>
    <w:rsid w:val="00256493"/>
    <w:rsid w:val="00275771"/>
    <w:rsid w:val="002825E5"/>
    <w:rsid w:val="00290A0E"/>
    <w:rsid w:val="002A011E"/>
    <w:rsid w:val="002A1F6F"/>
    <w:rsid w:val="002A3D24"/>
    <w:rsid w:val="002A5447"/>
    <w:rsid w:val="002A5CE5"/>
    <w:rsid w:val="002E16D2"/>
    <w:rsid w:val="002E46CA"/>
    <w:rsid w:val="002E7890"/>
    <w:rsid w:val="002F3FA9"/>
    <w:rsid w:val="00305562"/>
    <w:rsid w:val="00313FAD"/>
    <w:rsid w:val="00327F53"/>
    <w:rsid w:val="003316D1"/>
    <w:rsid w:val="00334225"/>
    <w:rsid w:val="00355108"/>
    <w:rsid w:val="00355E2F"/>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5782"/>
    <w:rsid w:val="00446C29"/>
    <w:rsid w:val="0046262D"/>
    <w:rsid w:val="00473962"/>
    <w:rsid w:val="00476125"/>
    <w:rsid w:val="00481310"/>
    <w:rsid w:val="0048342F"/>
    <w:rsid w:val="004874A3"/>
    <w:rsid w:val="00491503"/>
    <w:rsid w:val="00495EEA"/>
    <w:rsid w:val="004A6BB8"/>
    <w:rsid w:val="004B2B98"/>
    <w:rsid w:val="004C2CCF"/>
    <w:rsid w:val="004D000A"/>
    <w:rsid w:val="004D1FC6"/>
    <w:rsid w:val="004F1072"/>
    <w:rsid w:val="0050509F"/>
    <w:rsid w:val="00514C73"/>
    <w:rsid w:val="00522D4F"/>
    <w:rsid w:val="00523378"/>
    <w:rsid w:val="00561DFB"/>
    <w:rsid w:val="00567939"/>
    <w:rsid w:val="00567DEE"/>
    <w:rsid w:val="0058690F"/>
    <w:rsid w:val="005A345C"/>
    <w:rsid w:val="005A631B"/>
    <w:rsid w:val="005B4E46"/>
    <w:rsid w:val="005B6025"/>
    <w:rsid w:val="005D3071"/>
    <w:rsid w:val="005D5832"/>
    <w:rsid w:val="005E00C5"/>
    <w:rsid w:val="005E3C1B"/>
    <w:rsid w:val="005F4816"/>
    <w:rsid w:val="00602961"/>
    <w:rsid w:val="0061352F"/>
    <w:rsid w:val="00621324"/>
    <w:rsid w:val="006213D9"/>
    <w:rsid w:val="00622F81"/>
    <w:rsid w:val="006240DE"/>
    <w:rsid w:val="0063042D"/>
    <w:rsid w:val="006442CA"/>
    <w:rsid w:val="006506BD"/>
    <w:rsid w:val="006529E9"/>
    <w:rsid w:val="00667208"/>
    <w:rsid w:val="0067001A"/>
    <w:rsid w:val="00670F2A"/>
    <w:rsid w:val="006731AF"/>
    <w:rsid w:val="006837A0"/>
    <w:rsid w:val="00686001"/>
    <w:rsid w:val="006C2946"/>
    <w:rsid w:val="006C3EA1"/>
    <w:rsid w:val="006C5E10"/>
    <w:rsid w:val="006D5C90"/>
    <w:rsid w:val="006F07D1"/>
    <w:rsid w:val="00713373"/>
    <w:rsid w:val="00724560"/>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2F5C"/>
    <w:rsid w:val="00825CA9"/>
    <w:rsid w:val="00830EFE"/>
    <w:rsid w:val="008433C5"/>
    <w:rsid w:val="008451F1"/>
    <w:rsid w:val="00852259"/>
    <w:rsid w:val="008648E0"/>
    <w:rsid w:val="00871CAD"/>
    <w:rsid w:val="008764D5"/>
    <w:rsid w:val="0088532E"/>
    <w:rsid w:val="0089458B"/>
    <w:rsid w:val="008A158A"/>
    <w:rsid w:val="008C33E1"/>
    <w:rsid w:val="008C347D"/>
    <w:rsid w:val="008C5967"/>
    <w:rsid w:val="008D1879"/>
    <w:rsid w:val="008E2768"/>
    <w:rsid w:val="008E7193"/>
    <w:rsid w:val="00917B6F"/>
    <w:rsid w:val="00926193"/>
    <w:rsid w:val="009336D5"/>
    <w:rsid w:val="00941A6C"/>
    <w:rsid w:val="0095007F"/>
    <w:rsid w:val="00954D28"/>
    <w:rsid w:val="00956148"/>
    <w:rsid w:val="009917C5"/>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F06A0"/>
    <w:rsid w:val="00AF65CF"/>
    <w:rsid w:val="00B2117E"/>
    <w:rsid w:val="00B254B1"/>
    <w:rsid w:val="00B3385D"/>
    <w:rsid w:val="00B34A59"/>
    <w:rsid w:val="00B36917"/>
    <w:rsid w:val="00B61F1C"/>
    <w:rsid w:val="00B64CB3"/>
    <w:rsid w:val="00B70503"/>
    <w:rsid w:val="00B837B4"/>
    <w:rsid w:val="00BA7BEF"/>
    <w:rsid w:val="00BB21C5"/>
    <w:rsid w:val="00BC3148"/>
    <w:rsid w:val="00BD4FF8"/>
    <w:rsid w:val="00BE32A0"/>
    <w:rsid w:val="00BE6BD5"/>
    <w:rsid w:val="00BF02A9"/>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3511"/>
    <w:rsid w:val="00CA5CF7"/>
    <w:rsid w:val="00CA6008"/>
    <w:rsid w:val="00CB4459"/>
    <w:rsid w:val="00CC08F9"/>
    <w:rsid w:val="00CC0CAA"/>
    <w:rsid w:val="00CE0765"/>
    <w:rsid w:val="00CF1644"/>
    <w:rsid w:val="00D03A02"/>
    <w:rsid w:val="00D1529C"/>
    <w:rsid w:val="00D16DFD"/>
    <w:rsid w:val="00D32524"/>
    <w:rsid w:val="00D348CE"/>
    <w:rsid w:val="00D36B3B"/>
    <w:rsid w:val="00D544AD"/>
    <w:rsid w:val="00D56F34"/>
    <w:rsid w:val="00D71B82"/>
    <w:rsid w:val="00D7286F"/>
    <w:rsid w:val="00D74D94"/>
    <w:rsid w:val="00D904F2"/>
    <w:rsid w:val="00DB18A5"/>
    <w:rsid w:val="00DB3204"/>
    <w:rsid w:val="00DB5FDA"/>
    <w:rsid w:val="00E06C17"/>
    <w:rsid w:val="00E07D0A"/>
    <w:rsid w:val="00E22D7C"/>
    <w:rsid w:val="00E35074"/>
    <w:rsid w:val="00E408E6"/>
    <w:rsid w:val="00E52F4F"/>
    <w:rsid w:val="00E65420"/>
    <w:rsid w:val="00E96594"/>
    <w:rsid w:val="00EA2FCF"/>
    <w:rsid w:val="00EA71AE"/>
    <w:rsid w:val="00EC0A0B"/>
    <w:rsid w:val="00EC5D2F"/>
    <w:rsid w:val="00ED2687"/>
    <w:rsid w:val="00ED6CD9"/>
    <w:rsid w:val="00EF1177"/>
    <w:rsid w:val="00EF1D8B"/>
    <w:rsid w:val="00F13B66"/>
    <w:rsid w:val="00F2063D"/>
    <w:rsid w:val="00F44D19"/>
    <w:rsid w:val="00F55F27"/>
    <w:rsid w:val="00F671A2"/>
    <w:rsid w:val="00F676C7"/>
    <w:rsid w:val="00FB1C71"/>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 w:eastAsia="de" w:bidi="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bidi="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lang w:val="en-GB" w:eastAsia="ar-SA" w:bidi="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 w:eastAsia="de" w:bidi="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bidi="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lang w:val="en-GB" w:eastAsia="ar-SA" w:bidi="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footer" Target="footer7.xml"/><Relationship Id="rId10" Type="http://schemas.openxmlformats.org/officeDocument/2006/relationships/image" Target="media/image10.jpeg"/><Relationship Id="rId19" Type="http://schemas.openxmlformats.org/officeDocument/2006/relationships/image" Target="media/image3.png"/><Relationship Id="rId31" Type="http://schemas.openxmlformats.org/officeDocument/2006/relationships/hyperlink" Target="http://www.boschsecurit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IUI</Template>
  <TotalTime>33</TotalTime>
  <Pages>9</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11</cp:revision>
  <cp:lastPrinted>2014-04-23T11:13:00Z</cp:lastPrinted>
  <dcterms:created xsi:type="dcterms:W3CDTF">2014-04-23T09:04:00Z</dcterms:created>
  <dcterms:modified xsi:type="dcterms:W3CDTF">2014-04-24T09:07:00Z</dcterms:modified>
</cp:coreProperties>
</file>